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BA" w:rsidRPr="0034794E" w:rsidRDefault="00C76BBA" w:rsidP="00C76BBA">
      <w:pPr>
        <w:pStyle w:val="EndNoteBibliography"/>
        <w:bidi w:val="0"/>
        <w:spacing w:after="0"/>
        <w:rPr>
          <w:rFonts w:ascii="Cambria" w:hAnsi="Cambria"/>
          <w:color w:val="000000" w:themeColor="text1"/>
          <w:sz w:val="16"/>
          <w:szCs w:val="32"/>
          <w:rtl/>
        </w:rPr>
      </w:pPr>
    </w:p>
    <w:p w:rsidR="00C76BBA" w:rsidRPr="0034794E" w:rsidRDefault="00C76BBA" w:rsidP="00C76BBA">
      <w:pPr>
        <w:bidi w:val="0"/>
        <w:spacing w:after="0" w:line="240" w:lineRule="auto"/>
        <w:rPr>
          <w:rFonts w:ascii="Cambria" w:hAnsi="Cambria" w:cs="Calibri"/>
          <w:noProof/>
          <w:color w:val="000000" w:themeColor="text1"/>
          <w:sz w:val="16"/>
          <w:szCs w:val="32"/>
        </w:rPr>
        <w:sectPr w:rsidR="00C76BBA" w:rsidRPr="0034794E" w:rsidSect="00C76BBA">
          <w:pgSz w:w="12240" w:h="15840"/>
          <w:pgMar w:top="1440" w:right="1440" w:bottom="1440" w:left="1440" w:header="720" w:footer="720" w:gutter="0"/>
          <w:cols w:space="720"/>
        </w:sectPr>
      </w:pPr>
    </w:p>
    <w:p w:rsidR="00C76BBA" w:rsidRPr="0034794E" w:rsidRDefault="00C76BBA" w:rsidP="00C76BBA">
      <w:pPr>
        <w:bidi w:val="0"/>
        <w:spacing w:after="0" w:line="240" w:lineRule="auto"/>
        <w:rPr>
          <w:rFonts w:ascii="Cambria" w:hAnsi="Cambria" w:cs="Calibri"/>
          <w:noProof/>
          <w:color w:val="000000" w:themeColor="text1"/>
          <w:sz w:val="16"/>
          <w:szCs w:val="16"/>
          <w:rtl/>
        </w:rPr>
      </w:pPr>
      <w:r w:rsidRPr="0034794E">
        <w:rPr>
          <w:rFonts w:ascii="Cambria" w:hAnsi="Cambria" w:cs="Calibri"/>
          <w:noProof/>
          <w:color w:val="000000" w:themeColor="text1"/>
          <w:sz w:val="16"/>
          <w:szCs w:val="16"/>
          <w:rtl/>
        </w:rPr>
        <w:fldChar w:fldCharType="begin"/>
      </w:r>
      <w:r w:rsidRPr="0034794E">
        <w:rPr>
          <w:rFonts w:ascii="Cambria" w:hAnsi="Cambria" w:cs="Calibri"/>
          <w:noProof/>
          <w:color w:val="000000" w:themeColor="text1"/>
          <w:sz w:val="16"/>
          <w:szCs w:val="16"/>
        </w:rPr>
        <w:instrText>ADDIN EN.REFLIST</w:instrText>
      </w:r>
      <w:r w:rsidRPr="0034794E">
        <w:rPr>
          <w:rFonts w:ascii="Cambria" w:hAnsi="Cambria" w:cs="Calibri"/>
          <w:noProof/>
          <w:color w:val="000000" w:themeColor="text1"/>
          <w:sz w:val="16"/>
          <w:szCs w:val="16"/>
          <w:rtl/>
        </w:rPr>
        <w:fldChar w:fldCharType="separate"/>
      </w:r>
      <w:bookmarkStart w:id="0" w:name="_ENREF_1"/>
      <w:r w:rsidRPr="0034794E">
        <w:rPr>
          <w:rFonts w:ascii="Cambria" w:hAnsi="Cambria" w:cs="Calibri"/>
          <w:noProof/>
          <w:color w:val="000000" w:themeColor="text1"/>
          <w:sz w:val="16"/>
          <w:szCs w:val="16"/>
          <w:rtl/>
        </w:rPr>
        <w:t>1</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Beck JD, Eke P, Heiss G, Madianos P, Couper D, Lin D, et al. Periodontal disease and coronary heart disease: a reappraisal of the exposure. Circulation. 2005;112(1):19-24</w:t>
      </w:r>
      <w:r w:rsidRPr="0034794E">
        <w:rPr>
          <w:rFonts w:ascii="Cambria" w:hAnsi="Cambria" w:cs="Calibri"/>
          <w:noProof/>
          <w:color w:val="000000" w:themeColor="text1"/>
          <w:sz w:val="16"/>
          <w:szCs w:val="16"/>
          <w:rtl/>
        </w:rPr>
        <w:t>.</w:t>
      </w:r>
      <w:bookmarkEnd w:id="0"/>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 w:name="_ENREF_2"/>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2</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Okonta KE, Okoh BA. Theoretical knowledge of cardiopulmonary resuscitation among clinical medical students in the University of Port Harcourt, Nigeria. African Journal of Medical and Health Sciences. 2015;14(1):42</w:t>
      </w:r>
      <w:r w:rsidRPr="0034794E">
        <w:rPr>
          <w:rFonts w:ascii="Cambria" w:hAnsi="Cambria" w:cs="Calibri"/>
          <w:noProof/>
          <w:color w:val="000000" w:themeColor="text1"/>
          <w:sz w:val="16"/>
          <w:szCs w:val="16"/>
          <w:rtl/>
        </w:rPr>
        <w:t>.</w:t>
      </w:r>
      <w:bookmarkEnd w:id="1"/>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2" w:name="_ENREF_3"/>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3</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Abbas A, Bukhari SI, Ahmad F. Knowledge of first aid and basic life support amongst medical students: a comparisonbetween trained and un-trained students. JPMA The Journal of the Pakistan Medical Association. 2011;61(6):613-6</w:t>
      </w:r>
      <w:r w:rsidRPr="0034794E">
        <w:rPr>
          <w:rFonts w:ascii="Cambria" w:hAnsi="Cambria" w:cs="Calibri"/>
          <w:noProof/>
          <w:color w:val="000000" w:themeColor="text1"/>
          <w:sz w:val="16"/>
          <w:szCs w:val="16"/>
          <w:rtl/>
        </w:rPr>
        <w:t>.</w:t>
      </w:r>
      <w:bookmarkEnd w:id="2"/>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3" w:name="_ENREF_4"/>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4</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Peberdy MA, Kaye W, Ornato JP, Larkin GL, Nadkarni V, Mancini ME, et al. Cardiopulmonary resuscitation of adults in the hospital: a reportof 14 720 cardiac arrests from the National Registry of Cardiopulmonary Resuscitation. Resuscitation. 2003;58(3):297-308</w:t>
      </w:r>
      <w:r w:rsidRPr="0034794E">
        <w:rPr>
          <w:rFonts w:ascii="Cambria" w:hAnsi="Cambria" w:cs="Calibri"/>
          <w:noProof/>
          <w:color w:val="000000" w:themeColor="text1"/>
          <w:sz w:val="16"/>
          <w:szCs w:val="16"/>
          <w:rtl/>
        </w:rPr>
        <w:t>.</w:t>
      </w:r>
      <w:bookmarkEnd w:id="3"/>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4" w:name="_ENREF_5"/>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5</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Merchant RM, Yang L, Becker LB, Berg RA, Nadkarni V, Nichol G, et al. Incidence of treated cardiac arrest in hospitalized patients in the United States. Critical care medicine. 2011;39(11):2401</w:t>
      </w:r>
      <w:r w:rsidRPr="0034794E">
        <w:rPr>
          <w:rFonts w:ascii="Cambria" w:hAnsi="Cambria" w:cs="Calibri"/>
          <w:noProof/>
          <w:color w:val="000000" w:themeColor="text1"/>
          <w:sz w:val="16"/>
          <w:szCs w:val="16"/>
          <w:rtl/>
        </w:rPr>
        <w:t>.</w:t>
      </w:r>
      <w:bookmarkEnd w:id="4"/>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5" w:name="_ENREF_6"/>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6</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Schwamm LH, Fonarow GC, Reeves MJ, Pan W, Frankel MR, Smith EE, et al. Get With the Guidelines–Stroke is associated with sustained improvement in care for patients hospitalized with acute stroke or transient ischemic attack. Circulation. 2009;119(1):107-15</w:t>
      </w:r>
      <w:r w:rsidRPr="0034794E">
        <w:rPr>
          <w:rFonts w:ascii="Cambria" w:hAnsi="Cambria" w:cs="Calibri"/>
          <w:noProof/>
          <w:color w:val="000000" w:themeColor="text1"/>
          <w:sz w:val="16"/>
          <w:szCs w:val="16"/>
          <w:rtl/>
        </w:rPr>
        <w:t>.</w:t>
      </w:r>
      <w:bookmarkEnd w:id="5"/>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6" w:name="_ENREF_7"/>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7</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Bradley EH, Herrin J, Elbel B, McNamara RL, Magid DJ, Nallamothu BK, et al. Hospital quality for acute myocardial infarction: correlation among process measures and relationship with short-term mortality. Jama. 2006;296(1):72-8</w:t>
      </w:r>
      <w:r w:rsidRPr="0034794E">
        <w:rPr>
          <w:rFonts w:ascii="Cambria" w:hAnsi="Cambria" w:cs="Calibri"/>
          <w:noProof/>
          <w:color w:val="000000" w:themeColor="text1"/>
          <w:sz w:val="16"/>
          <w:szCs w:val="16"/>
          <w:rtl/>
        </w:rPr>
        <w:t>.</w:t>
      </w:r>
      <w:bookmarkEnd w:id="6"/>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7" w:name="_ENREF_8"/>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8</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Fonarow GC, Abraham WT, Albert NM, Stough WG, Gheorghiade M, Greenberg BH, et al. Association between performance measures and clinical outcomes for patients hospitalized with heart failure. Jama. 2007;2</w:t>
      </w:r>
      <w:r w:rsidRPr="0034794E">
        <w:rPr>
          <w:rFonts w:ascii="Cambria" w:hAnsi="Cambria" w:cs="Calibri"/>
          <w:noProof/>
          <w:color w:val="000000" w:themeColor="text1"/>
          <w:sz w:val="16"/>
          <w:szCs w:val="16"/>
          <w:rtl/>
        </w:rPr>
        <w:t>97(1):61-70.</w:t>
      </w:r>
      <w:bookmarkEnd w:id="7"/>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8" w:name="_ENREF_9"/>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9</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LaBresh KA, Fonarow GC, Smith Jr SC, Bonow RO, Smaha LC, Tyler PA, et al. Improved treatment of hospitalized coronary artery disease patients with the get with the guidelines program. Critical pathways in cardiology. 2007;6(3):98-105</w:t>
      </w:r>
      <w:r w:rsidRPr="0034794E">
        <w:rPr>
          <w:rFonts w:ascii="Cambria" w:hAnsi="Cambria" w:cs="Calibri"/>
          <w:noProof/>
          <w:color w:val="000000" w:themeColor="text1"/>
          <w:sz w:val="16"/>
          <w:szCs w:val="16"/>
          <w:rtl/>
        </w:rPr>
        <w:t>.</w:t>
      </w:r>
      <w:bookmarkEnd w:id="8"/>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9" w:name="_ENREF_10"/>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10</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Heidenreich PA, Lewis WR, LaBresh KA, Schwamm LH, Fonarow GC. Hospital performance recognition with the Get With The Guidelines Program and mortality for acute myocardial infarction and heart failure. American heart journal. 2009;158(4):546-53</w:t>
      </w:r>
      <w:r w:rsidRPr="0034794E">
        <w:rPr>
          <w:rFonts w:ascii="Cambria" w:hAnsi="Cambria" w:cs="Calibri"/>
          <w:noProof/>
          <w:color w:val="000000" w:themeColor="text1"/>
          <w:sz w:val="16"/>
          <w:szCs w:val="16"/>
          <w:rtl/>
        </w:rPr>
        <w:t>.</w:t>
      </w:r>
      <w:bookmarkEnd w:id="9"/>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0" w:name="_ENREF_11"/>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11</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Mardegan KJ, Schofield MJ, Murphy GC. Comparison of an interactive CD-based and traditional instructor-led Basic Life Support skills training for nurses. Australian Critical Care. 2015;28(3):160-7</w:t>
      </w:r>
      <w:r w:rsidRPr="0034794E">
        <w:rPr>
          <w:rFonts w:ascii="Cambria" w:hAnsi="Cambria" w:cs="Calibri"/>
          <w:noProof/>
          <w:color w:val="000000" w:themeColor="text1"/>
          <w:sz w:val="16"/>
          <w:szCs w:val="16"/>
          <w:rtl/>
        </w:rPr>
        <w:t>.</w:t>
      </w:r>
      <w:bookmarkEnd w:id="10"/>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1" w:name="_ENREF_12"/>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12</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Association AH. Highlights of the 2015 American Heart Association guidelines update for CPR and ECC. Dallas, USA. 2015</w:t>
      </w:r>
      <w:r w:rsidRPr="0034794E">
        <w:rPr>
          <w:rFonts w:ascii="Cambria" w:hAnsi="Cambria" w:cs="Calibri"/>
          <w:noProof/>
          <w:color w:val="000000" w:themeColor="text1"/>
          <w:sz w:val="16"/>
          <w:szCs w:val="16"/>
          <w:rtl/>
        </w:rPr>
        <w:t>.</w:t>
      </w:r>
      <w:bookmarkEnd w:id="11"/>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2" w:name="_ENREF_13"/>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13</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Danciu SC, Klein L, Hosseini MM, Ibrahim L, Coyle BW, Kehoe RF. A predictive model for survival after in-hospital cardiopulmonary arrest. Resuscitation. 2004;62(1):35-42</w:t>
      </w:r>
      <w:r w:rsidRPr="0034794E">
        <w:rPr>
          <w:rFonts w:ascii="Cambria" w:hAnsi="Cambria" w:cs="Calibri"/>
          <w:noProof/>
          <w:color w:val="000000" w:themeColor="text1"/>
          <w:sz w:val="16"/>
          <w:szCs w:val="16"/>
          <w:rtl/>
        </w:rPr>
        <w:t>.</w:t>
      </w:r>
      <w:bookmarkEnd w:id="12"/>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3" w:name="_ENREF_14"/>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14</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Brindley PG, Markland DM, Mayers I, Kutsogiannis DJ. Predictors of survival following in-hospital adult cardiopulmonary resuscitation. Canadian Medical Association Journal. 2002;167(4):343-8</w:t>
      </w:r>
      <w:r w:rsidRPr="0034794E">
        <w:rPr>
          <w:rFonts w:ascii="Cambria" w:hAnsi="Cambria" w:cs="Calibri"/>
          <w:noProof/>
          <w:color w:val="000000" w:themeColor="text1"/>
          <w:sz w:val="16"/>
          <w:szCs w:val="16"/>
          <w:rtl/>
        </w:rPr>
        <w:t>.</w:t>
      </w:r>
      <w:bookmarkEnd w:id="13"/>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4" w:name="_ENREF_15"/>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15</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Girotra S, Nallamothu BK, Spertus JA, Li Y, Krumholz HM, Chan PS. Trends in survival after in-hospital cardiac arrest. New England Journal of Medicine. 2012;367(20):1912-20</w:t>
      </w:r>
      <w:r w:rsidRPr="0034794E">
        <w:rPr>
          <w:rFonts w:ascii="Cambria" w:hAnsi="Cambria" w:cs="Calibri"/>
          <w:noProof/>
          <w:color w:val="000000" w:themeColor="text1"/>
          <w:sz w:val="16"/>
          <w:szCs w:val="16"/>
          <w:rtl/>
        </w:rPr>
        <w:t>.</w:t>
      </w:r>
      <w:bookmarkEnd w:id="14"/>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5" w:name="_ENREF_16"/>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16</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Kleinman ME, Brennan EE, Goldberger ZD, Swor RA, Terry M, Bobrow BJ, et al. Part 5: adult basic life support and cardiopulmonary resuscitation quality</w:t>
      </w:r>
      <w:r w:rsidRPr="0034794E">
        <w:rPr>
          <w:rFonts w:ascii="Cambria" w:hAnsi="Cambria" w:cs="Calibri"/>
          <w:noProof/>
          <w:color w:val="000000" w:themeColor="text1"/>
          <w:sz w:val="16"/>
          <w:szCs w:val="16"/>
          <w:rtl/>
        </w:rPr>
        <w:t xml:space="preserve">: 2015 </w:t>
      </w:r>
      <w:r w:rsidRPr="0034794E">
        <w:rPr>
          <w:rFonts w:ascii="Cambria" w:hAnsi="Cambria" w:cs="Calibri"/>
          <w:noProof/>
          <w:color w:val="000000" w:themeColor="text1"/>
          <w:sz w:val="16"/>
          <w:szCs w:val="16"/>
        </w:rPr>
        <w:t xml:space="preserve">American Heart Association guidelines update for cardiopulmonary </w:t>
      </w:r>
      <w:r w:rsidRPr="0034794E">
        <w:rPr>
          <w:rFonts w:ascii="Cambria" w:hAnsi="Cambria" w:cs="Calibri"/>
          <w:noProof/>
          <w:color w:val="000000" w:themeColor="text1"/>
          <w:sz w:val="16"/>
          <w:szCs w:val="16"/>
        </w:rPr>
        <w:t>resuscitation and emergency cardiovascular care. Circulation. 2015;132(18_suppl_2):S414-S35</w:t>
      </w:r>
      <w:r w:rsidRPr="0034794E">
        <w:rPr>
          <w:rFonts w:ascii="Cambria" w:hAnsi="Cambria" w:cs="Calibri"/>
          <w:noProof/>
          <w:color w:val="000000" w:themeColor="text1"/>
          <w:sz w:val="16"/>
          <w:szCs w:val="16"/>
          <w:rtl/>
        </w:rPr>
        <w:t>.</w:t>
      </w:r>
      <w:bookmarkEnd w:id="15"/>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6" w:name="_ENREF_17"/>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17</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Farahzadi M, Shafiee A, Bozorgi A, Mahmoudian M, Sadeghian S. Assessment of adherence to ACC/AHA guidelines in primary management of patients with NSTEMI in a referral cardiology hospital. Crit Pathw Cardiol. 2015;14(1):36-8. Epub 2015/02/14</w:t>
      </w:r>
      <w:r w:rsidRPr="0034794E">
        <w:rPr>
          <w:rFonts w:ascii="Cambria" w:hAnsi="Cambria" w:cs="Calibri"/>
          <w:noProof/>
          <w:color w:val="000000" w:themeColor="text1"/>
          <w:sz w:val="16"/>
          <w:szCs w:val="16"/>
          <w:rtl/>
        </w:rPr>
        <w:t>.</w:t>
      </w:r>
      <w:bookmarkEnd w:id="16"/>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7" w:name="_ENREF_18"/>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18</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Aufderheide TP, Yannopoulos D, Lick CJ, Myers B, Romig LA, Stothert JC, et al. Implementing the</w:t>
      </w:r>
      <w:r w:rsidRPr="0034794E">
        <w:rPr>
          <w:rFonts w:ascii="Cambria" w:hAnsi="Cambria" w:cs="Calibri"/>
          <w:noProof/>
          <w:color w:val="000000" w:themeColor="text1"/>
          <w:sz w:val="16"/>
          <w:szCs w:val="16"/>
          <w:rtl/>
        </w:rPr>
        <w:t xml:space="preserve"> 2005 </w:t>
      </w:r>
      <w:r w:rsidRPr="0034794E">
        <w:rPr>
          <w:rFonts w:ascii="Cambria" w:hAnsi="Cambria" w:cs="Calibri"/>
          <w:noProof/>
          <w:color w:val="000000" w:themeColor="text1"/>
          <w:sz w:val="16"/>
          <w:szCs w:val="16"/>
        </w:rPr>
        <w:t>American Heart Association Guidelines improves outcomes after out-of-hospital cardiac arrest. Heart rhythm. 2010;7(10):1357-62. Epub 2010/04/28</w:t>
      </w:r>
      <w:r w:rsidRPr="0034794E">
        <w:rPr>
          <w:rFonts w:ascii="Cambria" w:hAnsi="Cambria" w:cs="Calibri"/>
          <w:noProof/>
          <w:color w:val="000000" w:themeColor="text1"/>
          <w:sz w:val="16"/>
          <w:szCs w:val="16"/>
          <w:rtl/>
        </w:rPr>
        <w:t>.</w:t>
      </w:r>
      <w:bookmarkEnd w:id="17"/>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8" w:name="_ENREF_19"/>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19</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Bristow PJ, Hillman KM, Chey T, Daffurn K, Jacques TC, Norman SL, et al. Rates of in-hospital arrests, deaths and intensive care admissions: the effect of a medical emergency team. The Medical journal of Australia. 2000;173(5):236-40. Epub 2000/12/29</w:t>
      </w:r>
      <w:r w:rsidRPr="0034794E">
        <w:rPr>
          <w:rFonts w:ascii="Cambria" w:hAnsi="Cambria" w:cs="Calibri"/>
          <w:noProof/>
          <w:color w:val="000000" w:themeColor="text1"/>
          <w:sz w:val="16"/>
          <w:szCs w:val="16"/>
          <w:rtl/>
        </w:rPr>
        <w:t>.</w:t>
      </w:r>
      <w:bookmarkEnd w:id="18"/>
    </w:p>
    <w:p w:rsidR="00C76BBA" w:rsidRPr="0034794E" w:rsidRDefault="00C76BBA" w:rsidP="00C76BBA">
      <w:pPr>
        <w:bidi w:val="0"/>
        <w:spacing w:after="0" w:line="240" w:lineRule="auto"/>
        <w:rPr>
          <w:rFonts w:ascii="Cambria" w:hAnsi="Cambria" w:cs="Calibri"/>
          <w:noProof/>
          <w:color w:val="000000" w:themeColor="text1"/>
          <w:sz w:val="16"/>
          <w:szCs w:val="16"/>
          <w:rtl/>
        </w:rPr>
      </w:pPr>
      <w:bookmarkStart w:id="19" w:name="_ENREF_20"/>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20</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Stub D, Schmicker RH, Anderson ML, Callaway CW, Daya MR, Sayre MR, et al. Association between hospital post-resuscitative performance and clinical outcomes after out-of-hospital cardiac arrest. Resuscitation. 2015;92:45-52. Epub 2015/04/29</w:t>
      </w:r>
      <w:r w:rsidRPr="0034794E">
        <w:rPr>
          <w:rFonts w:ascii="Cambria" w:hAnsi="Cambria" w:cs="Calibri"/>
          <w:noProof/>
          <w:color w:val="000000" w:themeColor="text1"/>
          <w:sz w:val="16"/>
          <w:szCs w:val="16"/>
          <w:rtl/>
        </w:rPr>
        <w:t>.</w:t>
      </w:r>
      <w:bookmarkEnd w:id="19"/>
    </w:p>
    <w:p w:rsidR="00C76BBA" w:rsidRPr="0034794E" w:rsidRDefault="00C76BBA" w:rsidP="00C76BBA">
      <w:pPr>
        <w:bidi w:val="0"/>
        <w:spacing w:after="0" w:line="240" w:lineRule="auto"/>
        <w:rPr>
          <w:rFonts w:ascii="Cambria" w:hAnsi="Cambria" w:cs="Calibri"/>
          <w:noProof/>
          <w:color w:val="000000" w:themeColor="text1"/>
          <w:sz w:val="16"/>
          <w:szCs w:val="16"/>
        </w:rPr>
      </w:pPr>
      <w:bookmarkStart w:id="20" w:name="_ENREF_21"/>
      <w:r w:rsidRPr="0034794E">
        <w:rPr>
          <w:rFonts w:ascii="Cambria" w:hAnsi="Cambria" w:cs="Calibri" w:hint="cs"/>
          <w:noProof/>
          <w:color w:val="000000" w:themeColor="text1"/>
          <w:sz w:val="16"/>
          <w:szCs w:val="16"/>
          <w:rtl/>
        </w:rPr>
        <w:t>.</w:t>
      </w:r>
      <w:r w:rsidRPr="0034794E">
        <w:rPr>
          <w:rFonts w:ascii="Cambria" w:hAnsi="Cambria" w:cs="Calibri"/>
          <w:noProof/>
          <w:color w:val="000000" w:themeColor="text1"/>
          <w:sz w:val="16"/>
          <w:szCs w:val="16"/>
          <w:rtl/>
        </w:rPr>
        <w:t>21</w:t>
      </w:r>
      <w:r w:rsidRPr="0034794E">
        <w:rPr>
          <w:rFonts w:ascii="Cambria" w:hAnsi="Cambria" w:cs="Calibri"/>
          <w:noProof/>
          <w:color w:val="000000" w:themeColor="text1"/>
          <w:sz w:val="16"/>
          <w:szCs w:val="16"/>
          <w:rtl/>
        </w:rPr>
        <w:tab/>
      </w:r>
      <w:r w:rsidRPr="0034794E">
        <w:rPr>
          <w:rFonts w:ascii="Cambria" w:hAnsi="Cambria" w:cs="Calibri"/>
          <w:noProof/>
          <w:color w:val="000000" w:themeColor="text1"/>
          <w:sz w:val="16"/>
          <w:szCs w:val="16"/>
        </w:rPr>
        <w:t>Peberdy MA, Gluck JA, Ornato JP, Bermudez CA, Griffin RE, Kasirajan V, et al. Cardiopulmonary resuscitation in adults and children with mechanical circulatory support: a scientific statement from the American Heart Association. Circulation. 2017;135(24):e1115-e34</w:t>
      </w:r>
      <w:r w:rsidRPr="0034794E">
        <w:rPr>
          <w:rFonts w:ascii="Cambria" w:hAnsi="Cambria" w:cs="Calibri"/>
          <w:noProof/>
          <w:color w:val="000000" w:themeColor="text1"/>
          <w:sz w:val="16"/>
          <w:szCs w:val="16"/>
          <w:rtl/>
        </w:rPr>
        <w:t>.</w:t>
      </w:r>
      <w:bookmarkEnd w:id="20"/>
    </w:p>
    <w:p w:rsidR="00C76BBA" w:rsidRPr="0034794E" w:rsidRDefault="00C76BBA" w:rsidP="00C76BBA">
      <w:pPr>
        <w:bidi w:val="0"/>
        <w:spacing w:after="0" w:line="240" w:lineRule="auto"/>
        <w:rPr>
          <w:rFonts w:ascii="Cambria" w:hAnsi="Cambria" w:cs="Calibri"/>
          <w:noProof/>
          <w:color w:val="000000" w:themeColor="text1"/>
          <w:sz w:val="16"/>
          <w:szCs w:val="16"/>
        </w:rPr>
      </w:pPr>
    </w:p>
    <w:p w:rsidR="00C76BBA" w:rsidRPr="0034794E" w:rsidRDefault="00C76BBA" w:rsidP="00C76BBA">
      <w:pPr>
        <w:bidi w:val="0"/>
        <w:spacing w:after="0" w:line="240" w:lineRule="auto"/>
        <w:rPr>
          <w:rFonts w:ascii="Cambria" w:hAnsi="Cambria"/>
          <w:b/>
          <w:bCs/>
          <w:color w:val="000000" w:themeColor="text1"/>
          <w:sz w:val="16"/>
        </w:rPr>
        <w:sectPr w:rsidR="00C76BBA" w:rsidRPr="0034794E">
          <w:type w:val="continuous"/>
          <w:pgSz w:w="12240" w:h="15840"/>
          <w:pgMar w:top="1440" w:right="1440" w:bottom="1440" w:left="1440" w:header="720" w:footer="720" w:gutter="0"/>
          <w:cols w:num="2" w:space="720"/>
          <w:bidi/>
        </w:sectPr>
      </w:pPr>
      <w:r w:rsidRPr="0034794E">
        <w:rPr>
          <w:rFonts w:ascii="Cambria" w:hAnsi="Cambria" w:cs="Calibri"/>
          <w:noProof/>
          <w:color w:val="000000" w:themeColor="text1"/>
          <w:sz w:val="16"/>
          <w:szCs w:val="16"/>
          <w:rtl/>
        </w:rPr>
        <w:fldChar w:fldCharType="end"/>
      </w:r>
    </w:p>
    <w:tbl>
      <w:tblPr>
        <w:tblStyle w:val="TableGrid"/>
        <w:tblpPr w:leftFromText="180" w:rightFromText="180" w:vertAnchor="text" w:horzAnchor="margin" w:tblpY="149"/>
        <w:tblW w:w="0" w:type="auto"/>
        <w:tblInd w:w="0" w:type="dxa"/>
        <w:tblLook w:val="04A0" w:firstRow="1" w:lastRow="0" w:firstColumn="1" w:lastColumn="0" w:noHBand="0" w:noVBand="1"/>
      </w:tblPr>
      <w:tblGrid>
        <w:gridCol w:w="9350"/>
      </w:tblGrid>
      <w:tr w:rsidR="00C76BBA" w:rsidRPr="0034794E" w:rsidTr="00087B91">
        <w:tc>
          <w:tcPr>
            <w:tcW w:w="9350" w:type="dxa"/>
            <w:tcBorders>
              <w:top w:val="single" w:sz="4" w:space="0" w:color="auto"/>
              <w:left w:val="single" w:sz="4" w:space="0" w:color="auto"/>
              <w:bottom w:val="single" w:sz="4" w:space="0" w:color="auto"/>
              <w:right w:val="single" w:sz="4" w:space="0" w:color="auto"/>
            </w:tcBorders>
            <w:shd w:val="clear" w:color="auto" w:fill="16258F"/>
          </w:tcPr>
          <w:p w:rsidR="00C76BBA" w:rsidRPr="003F6D15" w:rsidRDefault="00C76BBA" w:rsidP="00087B91">
            <w:pPr>
              <w:widowControl w:val="0"/>
              <w:bidi w:val="0"/>
              <w:spacing w:after="0" w:line="240" w:lineRule="auto"/>
              <w:jc w:val="center"/>
              <w:rPr>
                <w:rFonts w:ascii="Cambria" w:eastAsia="Calibri" w:hAnsi="Cambria"/>
                <w:b/>
                <w:bCs/>
              </w:rPr>
            </w:pPr>
            <w:r w:rsidRPr="003F6D15">
              <w:rPr>
                <w:rFonts w:ascii="Cambria" w:eastAsia="Calibri" w:hAnsi="Cambria"/>
                <w:b/>
                <w:bCs/>
              </w:rPr>
              <w:lastRenderedPageBreak/>
              <w:t>ORIGINAL ARTICLE</w:t>
            </w:r>
          </w:p>
        </w:tc>
      </w:tr>
    </w:tbl>
    <w:p w:rsidR="00C76BBA" w:rsidRPr="0034794E" w:rsidRDefault="00C76BBA" w:rsidP="00C76BBA">
      <w:pPr>
        <w:widowControl w:val="0"/>
        <w:bidi w:val="0"/>
        <w:spacing w:line="240" w:lineRule="auto"/>
        <w:rPr>
          <w:rFonts w:ascii="Cambria" w:eastAsia="Times New Roman" w:hAnsi="Cambria" w:cs="B Zar"/>
          <w:b/>
          <w:bCs/>
          <w:color w:val="000000" w:themeColor="text1"/>
          <w:sz w:val="16"/>
          <w:szCs w:val="24"/>
        </w:rPr>
      </w:pPr>
    </w:p>
    <w:p w:rsidR="00C76BBA" w:rsidRPr="007567C8" w:rsidRDefault="00C76BBA" w:rsidP="00C76BBA">
      <w:pPr>
        <w:bidi w:val="0"/>
        <w:spacing w:line="240" w:lineRule="auto"/>
        <w:rPr>
          <w:rFonts w:ascii="Cambria" w:hAnsi="Cambria" w:cs="B Titr"/>
          <w:b/>
          <w:bCs/>
          <w:color w:val="000000" w:themeColor="text1"/>
          <w:rtl/>
        </w:rPr>
      </w:pPr>
      <w:r w:rsidRPr="007567C8">
        <w:rPr>
          <w:rFonts w:ascii="Cambria" w:hAnsi="Cambria" w:cs="B Titr"/>
          <w:b/>
          <w:bCs/>
          <w:color w:val="000000" w:themeColor="text1"/>
        </w:rPr>
        <w:t xml:space="preserve">Rate of Adherence to American Heart Association Guideline for Dealing with </w:t>
      </w:r>
      <w:proofErr w:type="spellStart"/>
      <w:r w:rsidRPr="007567C8">
        <w:rPr>
          <w:rFonts w:ascii="Cambria" w:hAnsi="Cambria" w:cs="B Titr"/>
          <w:b/>
          <w:bCs/>
          <w:color w:val="000000" w:themeColor="text1"/>
        </w:rPr>
        <w:t>Tachy</w:t>
      </w:r>
      <w:proofErr w:type="spellEnd"/>
      <w:r w:rsidRPr="007567C8">
        <w:rPr>
          <w:rFonts w:ascii="Cambria" w:hAnsi="Cambria" w:cs="B Titr"/>
          <w:b/>
          <w:bCs/>
          <w:color w:val="000000" w:themeColor="text1"/>
        </w:rPr>
        <w:t xml:space="preserve">/Brady Dysrhythmia in Emergency Department; a Cross-Sectional Study </w:t>
      </w:r>
    </w:p>
    <w:p w:rsidR="00C76BBA" w:rsidRPr="007567C8" w:rsidRDefault="00C76BBA" w:rsidP="00C76BBA">
      <w:pPr>
        <w:bidi w:val="0"/>
        <w:spacing w:line="240" w:lineRule="auto"/>
        <w:rPr>
          <w:rFonts w:ascii="Cambria" w:hAnsi="Cambria" w:cstheme="minorBidi"/>
          <w:color w:val="000000" w:themeColor="text1"/>
          <w:sz w:val="20"/>
          <w:szCs w:val="20"/>
          <w:rtl/>
        </w:rPr>
      </w:pPr>
      <w:r w:rsidRPr="007567C8">
        <w:rPr>
          <w:rFonts w:ascii="Cambria" w:hAnsi="Cambria" w:cstheme="minorBidi"/>
          <w:color w:val="000000" w:themeColor="text1"/>
          <w:sz w:val="20"/>
          <w:szCs w:val="20"/>
        </w:rPr>
        <w:t xml:space="preserve">Mohammad Mehdi </w:t>
      </w:r>
      <w:proofErr w:type="spellStart"/>
      <w:r w:rsidRPr="007567C8">
        <w:rPr>
          <w:rFonts w:ascii="Cambria" w:hAnsi="Cambria" w:cstheme="minorBidi"/>
          <w:color w:val="000000" w:themeColor="text1"/>
          <w:sz w:val="20"/>
          <w:szCs w:val="20"/>
        </w:rPr>
        <w:t>Forouzanfar</w:t>
      </w:r>
      <w:proofErr w:type="spellEnd"/>
      <w:r w:rsidRPr="007567C8">
        <w:rPr>
          <w:rFonts w:ascii="Cambria" w:hAnsi="Cambria" w:cstheme="minorBidi"/>
          <w:color w:val="000000" w:themeColor="text1"/>
          <w:sz w:val="20"/>
          <w:szCs w:val="20"/>
        </w:rPr>
        <w:t xml:space="preserve">, </w:t>
      </w:r>
      <w:proofErr w:type="spellStart"/>
      <w:r w:rsidRPr="007567C8">
        <w:rPr>
          <w:rFonts w:ascii="Cambria" w:hAnsi="Cambria" w:cstheme="minorBidi"/>
          <w:color w:val="000000" w:themeColor="text1"/>
          <w:sz w:val="20"/>
          <w:szCs w:val="20"/>
        </w:rPr>
        <w:t>Amirreza</w:t>
      </w:r>
      <w:proofErr w:type="spellEnd"/>
      <w:r w:rsidRPr="007567C8">
        <w:rPr>
          <w:rFonts w:ascii="Cambria" w:hAnsi="Cambria" w:cstheme="minorBidi"/>
          <w:color w:val="000000" w:themeColor="text1"/>
          <w:sz w:val="20"/>
          <w:szCs w:val="20"/>
        </w:rPr>
        <w:t xml:space="preserve"> </w:t>
      </w:r>
      <w:proofErr w:type="spellStart"/>
      <w:r w:rsidRPr="007567C8">
        <w:rPr>
          <w:rFonts w:ascii="Cambria" w:hAnsi="Cambria" w:cstheme="minorBidi"/>
          <w:color w:val="000000" w:themeColor="text1"/>
          <w:sz w:val="20"/>
          <w:szCs w:val="20"/>
        </w:rPr>
        <w:t>Nesari</w:t>
      </w:r>
      <w:proofErr w:type="spellEnd"/>
    </w:p>
    <w:p w:rsidR="00C76BBA" w:rsidRPr="0034794E" w:rsidRDefault="00C76BBA" w:rsidP="00C76BBA">
      <w:pPr>
        <w:bidi w:val="0"/>
        <w:spacing w:line="240" w:lineRule="auto"/>
        <w:rPr>
          <w:rFonts w:ascii="Cambria" w:hAnsi="Cambria" w:cstheme="minorBidi"/>
          <w:color w:val="000000" w:themeColor="text1"/>
          <w:sz w:val="16"/>
          <w:szCs w:val="16"/>
        </w:rPr>
      </w:pPr>
      <w:r w:rsidRPr="0034794E">
        <w:rPr>
          <w:rFonts w:ascii="Cambria" w:hAnsi="Cambria" w:cstheme="minorBidi"/>
          <w:color w:val="000000" w:themeColor="text1"/>
          <w:sz w:val="16"/>
          <w:szCs w:val="16"/>
        </w:rPr>
        <w:t xml:space="preserve">Emergency Department, </w:t>
      </w:r>
      <w:proofErr w:type="spellStart"/>
      <w:r w:rsidRPr="0034794E">
        <w:rPr>
          <w:rFonts w:ascii="Cambria" w:hAnsi="Cambria" w:cstheme="minorBidi"/>
          <w:color w:val="000000" w:themeColor="text1"/>
          <w:sz w:val="16"/>
          <w:szCs w:val="16"/>
        </w:rPr>
        <w:t>Shohadaye</w:t>
      </w:r>
      <w:proofErr w:type="spellEnd"/>
      <w:r w:rsidRPr="0034794E">
        <w:rPr>
          <w:rFonts w:ascii="Cambria" w:hAnsi="Cambria" w:cstheme="minorBidi"/>
          <w:color w:val="000000" w:themeColor="text1"/>
          <w:sz w:val="16"/>
          <w:szCs w:val="16"/>
        </w:rPr>
        <w:t xml:space="preserve"> </w:t>
      </w:r>
      <w:proofErr w:type="spellStart"/>
      <w:r w:rsidRPr="0034794E">
        <w:rPr>
          <w:rFonts w:ascii="Cambria" w:hAnsi="Cambria" w:cstheme="minorBidi"/>
          <w:color w:val="000000" w:themeColor="text1"/>
          <w:sz w:val="16"/>
          <w:szCs w:val="16"/>
        </w:rPr>
        <w:t>Tajrish</w:t>
      </w:r>
      <w:proofErr w:type="spellEnd"/>
      <w:r w:rsidRPr="0034794E">
        <w:rPr>
          <w:rFonts w:ascii="Cambria" w:hAnsi="Cambria" w:cstheme="minorBidi"/>
          <w:color w:val="000000" w:themeColor="text1"/>
          <w:sz w:val="16"/>
          <w:szCs w:val="16"/>
        </w:rPr>
        <w:t xml:space="preserve"> Hospital, Shahid Beheshti University of Medical Sciences, Tehran, Iran. </w:t>
      </w:r>
    </w:p>
    <w:p w:rsidR="00C76BBA" w:rsidRPr="0034794E" w:rsidRDefault="00C76BBA" w:rsidP="00C76BBA">
      <w:pPr>
        <w:bidi w:val="0"/>
        <w:spacing w:after="0" w:line="240" w:lineRule="auto"/>
        <w:rPr>
          <w:rFonts w:ascii="Cambria" w:hAnsi="Cambria" w:cstheme="minorBidi"/>
          <w:color w:val="000000" w:themeColor="text1"/>
          <w:sz w:val="16"/>
          <w:szCs w:val="16"/>
        </w:rPr>
      </w:pPr>
      <w:r w:rsidRPr="0034794E">
        <w:rPr>
          <w:rFonts w:ascii="Cambria" w:hAnsi="Cambria" w:cstheme="minorBidi"/>
          <w:b/>
          <w:bCs/>
          <w:color w:val="000000" w:themeColor="text1"/>
          <w:sz w:val="16"/>
          <w:szCs w:val="16"/>
        </w:rPr>
        <w:t>*Corresponding author:</w:t>
      </w:r>
      <w:r w:rsidRPr="0034794E">
        <w:rPr>
          <w:rFonts w:ascii="Cambria" w:hAnsi="Cambria" w:cstheme="minorBidi"/>
          <w:color w:val="000000" w:themeColor="text1"/>
          <w:sz w:val="16"/>
          <w:szCs w:val="16"/>
        </w:rPr>
        <w:t xml:space="preserve"> </w:t>
      </w:r>
      <w:proofErr w:type="spellStart"/>
      <w:r w:rsidRPr="0034794E">
        <w:rPr>
          <w:rFonts w:ascii="Cambria" w:hAnsi="Cambria" w:cstheme="minorBidi"/>
          <w:color w:val="000000" w:themeColor="text1"/>
          <w:sz w:val="16"/>
          <w:szCs w:val="16"/>
        </w:rPr>
        <w:t>Amirreaza</w:t>
      </w:r>
      <w:proofErr w:type="spellEnd"/>
      <w:r w:rsidRPr="0034794E">
        <w:rPr>
          <w:rFonts w:ascii="Cambria" w:hAnsi="Cambria" w:cstheme="minorBidi"/>
          <w:color w:val="000000" w:themeColor="text1"/>
          <w:sz w:val="16"/>
          <w:szCs w:val="16"/>
        </w:rPr>
        <w:t xml:space="preserve"> </w:t>
      </w:r>
      <w:proofErr w:type="spellStart"/>
      <w:r w:rsidRPr="0034794E">
        <w:rPr>
          <w:rFonts w:ascii="Cambria" w:hAnsi="Cambria" w:cstheme="minorBidi"/>
          <w:color w:val="000000" w:themeColor="text1"/>
          <w:sz w:val="16"/>
          <w:szCs w:val="16"/>
        </w:rPr>
        <w:t>Nesari</w:t>
      </w:r>
      <w:proofErr w:type="spellEnd"/>
      <w:r w:rsidRPr="0034794E">
        <w:rPr>
          <w:rFonts w:ascii="Cambria" w:hAnsi="Cambria" w:cstheme="minorBidi"/>
          <w:color w:val="000000" w:themeColor="text1"/>
          <w:sz w:val="16"/>
          <w:szCs w:val="16"/>
        </w:rPr>
        <w:t xml:space="preserve">; Emergency Department, </w:t>
      </w:r>
      <w:proofErr w:type="spellStart"/>
      <w:r w:rsidRPr="0034794E">
        <w:rPr>
          <w:rFonts w:ascii="Cambria" w:hAnsi="Cambria" w:cstheme="minorBidi"/>
          <w:color w:val="000000" w:themeColor="text1"/>
          <w:sz w:val="16"/>
          <w:szCs w:val="16"/>
        </w:rPr>
        <w:t>Shohadaye</w:t>
      </w:r>
      <w:proofErr w:type="spellEnd"/>
      <w:r w:rsidRPr="0034794E">
        <w:rPr>
          <w:rFonts w:ascii="Cambria" w:hAnsi="Cambria" w:cstheme="minorBidi"/>
          <w:color w:val="000000" w:themeColor="text1"/>
          <w:sz w:val="16"/>
          <w:szCs w:val="16"/>
        </w:rPr>
        <w:t xml:space="preserve"> </w:t>
      </w:r>
      <w:proofErr w:type="spellStart"/>
      <w:r w:rsidRPr="0034794E">
        <w:rPr>
          <w:rFonts w:ascii="Cambria" w:hAnsi="Cambria" w:cstheme="minorBidi"/>
          <w:color w:val="000000" w:themeColor="text1"/>
          <w:sz w:val="16"/>
          <w:szCs w:val="16"/>
        </w:rPr>
        <w:t>Tajrish</w:t>
      </w:r>
      <w:proofErr w:type="spellEnd"/>
      <w:r w:rsidRPr="0034794E">
        <w:rPr>
          <w:rFonts w:ascii="Cambria" w:hAnsi="Cambria" w:cstheme="minorBidi"/>
          <w:color w:val="000000" w:themeColor="text1"/>
          <w:sz w:val="16"/>
          <w:szCs w:val="16"/>
        </w:rPr>
        <w:t xml:space="preserve"> Hospital, </w:t>
      </w:r>
      <w:proofErr w:type="spellStart"/>
      <w:r w:rsidRPr="0034794E">
        <w:rPr>
          <w:rFonts w:ascii="Cambria" w:hAnsi="Cambria" w:cstheme="minorBidi"/>
          <w:color w:val="000000" w:themeColor="text1"/>
          <w:sz w:val="16"/>
          <w:szCs w:val="16"/>
        </w:rPr>
        <w:t>Tajrish</w:t>
      </w:r>
      <w:proofErr w:type="spellEnd"/>
      <w:r w:rsidRPr="0034794E">
        <w:rPr>
          <w:rFonts w:ascii="Cambria" w:hAnsi="Cambria" w:cstheme="minorBidi"/>
          <w:color w:val="000000" w:themeColor="text1"/>
          <w:sz w:val="16"/>
          <w:szCs w:val="16"/>
        </w:rPr>
        <w:t xml:space="preserve"> Square, Tehran, Iran.</w:t>
      </w:r>
    </w:p>
    <w:p w:rsidR="00C76BBA" w:rsidRDefault="00C76BBA" w:rsidP="00C76BBA">
      <w:pPr>
        <w:bidi w:val="0"/>
        <w:spacing w:after="0" w:line="240" w:lineRule="auto"/>
        <w:rPr>
          <w:rFonts w:ascii="Cambria" w:hAnsi="Cambria" w:cstheme="minorBidi"/>
          <w:color w:val="000000" w:themeColor="text1"/>
          <w:sz w:val="16"/>
          <w:szCs w:val="16"/>
          <w:rtl/>
        </w:rPr>
      </w:pPr>
      <w:r w:rsidRPr="0034794E">
        <w:rPr>
          <w:rFonts w:ascii="Cambria" w:hAnsi="Cambria" w:cstheme="minorBidi"/>
          <w:b/>
          <w:bCs/>
          <w:color w:val="000000" w:themeColor="text1"/>
          <w:sz w:val="16"/>
          <w:szCs w:val="16"/>
        </w:rPr>
        <w:t xml:space="preserve">Tel: </w:t>
      </w:r>
      <w:r w:rsidRPr="0034794E">
        <w:rPr>
          <w:rFonts w:ascii="Cambria" w:hAnsi="Cambria" w:cstheme="minorBidi"/>
          <w:color w:val="000000" w:themeColor="text1"/>
          <w:sz w:val="16"/>
          <w:szCs w:val="16"/>
        </w:rPr>
        <w:t>00989127606692</w:t>
      </w:r>
      <w:r w:rsidRPr="0034794E">
        <w:rPr>
          <w:rFonts w:ascii="Cambria" w:hAnsi="Cambria" w:cstheme="minorBidi"/>
          <w:b/>
          <w:bCs/>
          <w:color w:val="000000" w:themeColor="text1"/>
          <w:sz w:val="16"/>
          <w:szCs w:val="16"/>
        </w:rPr>
        <w:t>, Email:</w:t>
      </w:r>
      <w:r w:rsidRPr="0034794E">
        <w:rPr>
          <w:rFonts w:ascii="Cambria" w:hAnsi="Cambria" w:cstheme="minorBidi"/>
          <w:color w:val="000000" w:themeColor="text1"/>
          <w:sz w:val="16"/>
          <w:szCs w:val="16"/>
        </w:rPr>
        <w:t xml:space="preserve"> amirreza.nessari@gmail.com</w:t>
      </w:r>
    </w:p>
    <w:p w:rsidR="00C76BBA" w:rsidRPr="007567C8" w:rsidRDefault="00C76BBA" w:rsidP="00C76BBA">
      <w:pPr>
        <w:bidi w:val="0"/>
        <w:spacing w:after="0" w:line="240" w:lineRule="auto"/>
        <w:rPr>
          <w:rFonts w:ascii="Cambria" w:hAnsi="Cambria" w:cstheme="minorBidi"/>
          <w:color w:val="000000" w:themeColor="text1"/>
          <w:sz w:val="16"/>
          <w:szCs w:val="16"/>
        </w:rPr>
      </w:pPr>
    </w:p>
    <w:tbl>
      <w:tblPr>
        <w:tblStyle w:val="TableGrid"/>
        <w:tblW w:w="9356"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C76BBA" w:rsidRPr="0034794E" w:rsidTr="00087B91">
        <w:tc>
          <w:tcPr>
            <w:tcW w:w="1152" w:type="dxa"/>
            <w:tcBorders>
              <w:top w:val="single" w:sz="4" w:space="0" w:color="auto"/>
              <w:left w:val="nil"/>
              <w:bottom w:val="nil"/>
              <w:right w:val="nil"/>
            </w:tcBorders>
            <w:shd w:val="clear" w:color="auto" w:fill="16258F"/>
            <w:hideMark/>
          </w:tcPr>
          <w:p w:rsidR="00C76BBA" w:rsidRPr="007567C8" w:rsidRDefault="00C76BBA" w:rsidP="00087B91">
            <w:pPr>
              <w:pStyle w:val="NoSpacing"/>
              <w:bidi w:val="0"/>
              <w:rPr>
                <w:rFonts w:eastAsia="Times New Roman" w:cs="B Zar"/>
                <w:b w:val="0"/>
                <w:bCs w:val="0"/>
                <w:color w:val="000000" w:themeColor="text1"/>
                <w:sz w:val="24"/>
                <w:szCs w:val="24"/>
              </w:rPr>
            </w:pPr>
            <w:r w:rsidRPr="007567C8">
              <w:rPr>
                <w:color w:val="FFFFFF" w:themeColor="background1"/>
                <w:sz w:val="24"/>
                <w:szCs w:val="24"/>
              </w:rPr>
              <w:t>Abstract</w:t>
            </w:r>
          </w:p>
        </w:tc>
        <w:tc>
          <w:tcPr>
            <w:tcW w:w="8204" w:type="dxa"/>
            <w:tcBorders>
              <w:top w:val="single" w:sz="4" w:space="0" w:color="auto"/>
              <w:left w:val="nil"/>
              <w:bottom w:val="nil"/>
              <w:right w:val="nil"/>
            </w:tcBorders>
          </w:tcPr>
          <w:p w:rsidR="00C76BBA" w:rsidRPr="0034794E" w:rsidRDefault="00C76BBA" w:rsidP="00087B91">
            <w:pPr>
              <w:widowControl w:val="0"/>
              <w:bidi w:val="0"/>
              <w:spacing w:after="0" w:line="240" w:lineRule="auto"/>
              <w:rPr>
                <w:rFonts w:ascii="Cambria" w:eastAsia="Times New Roman" w:hAnsi="Cambria" w:cs="B Zar"/>
                <w:b/>
                <w:bCs/>
                <w:color w:val="000000" w:themeColor="text1"/>
                <w:sz w:val="16"/>
                <w:szCs w:val="24"/>
              </w:rPr>
            </w:pPr>
          </w:p>
        </w:tc>
      </w:tr>
      <w:tr w:rsidR="00C76BBA" w:rsidRPr="0034794E" w:rsidTr="00087B91">
        <w:tc>
          <w:tcPr>
            <w:tcW w:w="9356" w:type="dxa"/>
            <w:gridSpan w:val="2"/>
            <w:tcBorders>
              <w:top w:val="nil"/>
              <w:left w:val="nil"/>
              <w:bottom w:val="nil"/>
              <w:right w:val="nil"/>
            </w:tcBorders>
            <w:hideMark/>
          </w:tcPr>
          <w:p w:rsidR="00C76BBA" w:rsidRPr="007567C8" w:rsidRDefault="00C76BBA" w:rsidP="00087B91">
            <w:pPr>
              <w:bidi w:val="0"/>
              <w:spacing w:after="0" w:line="240" w:lineRule="auto"/>
              <w:ind w:right="34"/>
              <w:rPr>
                <w:rFonts w:ascii="Cambria" w:eastAsia="Times New Roman" w:hAnsi="Cambria" w:cs="B Zar"/>
                <w:color w:val="000000" w:themeColor="text1"/>
                <w:sz w:val="24"/>
                <w:szCs w:val="24"/>
              </w:rPr>
            </w:pPr>
            <w:r w:rsidRPr="007567C8">
              <w:rPr>
                <w:rFonts w:ascii="Cambria" w:eastAsia="Times New Roman" w:hAnsi="Cambria" w:cs="B Zar"/>
                <w:b/>
                <w:bCs/>
                <w:color w:val="000000" w:themeColor="text1"/>
                <w:sz w:val="24"/>
                <w:szCs w:val="24"/>
              </w:rPr>
              <w:t>Introduction:</w:t>
            </w:r>
            <w:r w:rsidRPr="007567C8">
              <w:rPr>
                <w:rFonts w:ascii="Cambria" w:eastAsia="Times New Roman" w:hAnsi="Cambria" w:cs="B Zar"/>
                <w:color w:val="000000" w:themeColor="text1"/>
                <w:sz w:val="24"/>
                <w:szCs w:val="24"/>
              </w:rPr>
              <w:t xml:space="preserve"> Since the guideline of American Heart Association (AHA) for cardiopulmonary resuscitation (CPR) is the basis for performing CPR in emergency department, updating the knowledge of residents and specialists in this field can play an important role in increasing the survival rate of the patients. This study has been designed with the aim of assessing the rate of adherence to AHA guideline for resuscitation of patients with </w:t>
            </w:r>
            <w:proofErr w:type="spellStart"/>
            <w:r w:rsidRPr="007567C8">
              <w:rPr>
                <w:rFonts w:ascii="Cambria" w:eastAsia="Times New Roman" w:hAnsi="Cambria" w:cs="B Zar"/>
                <w:color w:val="000000" w:themeColor="text1"/>
                <w:sz w:val="24"/>
                <w:szCs w:val="24"/>
              </w:rPr>
              <w:t>brady</w:t>
            </w:r>
            <w:proofErr w:type="spellEnd"/>
            <w:r w:rsidRPr="007567C8">
              <w:rPr>
                <w:rFonts w:ascii="Cambria" w:eastAsia="Times New Roman" w:hAnsi="Cambria" w:cs="B Zar"/>
                <w:color w:val="000000" w:themeColor="text1"/>
                <w:sz w:val="24"/>
                <w:szCs w:val="24"/>
              </w:rPr>
              <w:t>/</w:t>
            </w:r>
            <w:proofErr w:type="spellStart"/>
            <w:r w:rsidRPr="007567C8">
              <w:rPr>
                <w:rFonts w:ascii="Cambria" w:eastAsia="Times New Roman" w:hAnsi="Cambria" w:cs="B Zar"/>
                <w:color w:val="000000" w:themeColor="text1"/>
                <w:sz w:val="24"/>
                <w:szCs w:val="24"/>
              </w:rPr>
              <w:t>tachy</w:t>
            </w:r>
            <w:proofErr w:type="spellEnd"/>
            <w:r w:rsidRPr="007567C8">
              <w:rPr>
                <w:rFonts w:ascii="Cambria" w:eastAsia="Times New Roman" w:hAnsi="Cambria" w:cs="B Zar"/>
                <w:color w:val="000000" w:themeColor="text1"/>
                <w:sz w:val="24"/>
                <w:szCs w:val="24"/>
              </w:rPr>
              <w:t xml:space="preserve"> dysrhythmia. </w:t>
            </w:r>
            <w:r w:rsidRPr="007567C8">
              <w:rPr>
                <w:rFonts w:ascii="Cambria" w:eastAsia="Times New Roman" w:hAnsi="Cambria" w:cs="B Zar"/>
                <w:b/>
                <w:bCs/>
                <w:color w:val="000000" w:themeColor="text1"/>
                <w:sz w:val="24"/>
                <w:szCs w:val="24"/>
              </w:rPr>
              <w:t>Methods:</w:t>
            </w:r>
            <w:r w:rsidRPr="007567C8">
              <w:rPr>
                <w:rFonts w:ascii="Cambria" w:eastAsia="Times New Roman" w:hAnsi="Cambria" w:cs="B Zar"/>
                <w:color w:val="000000" w:themeColor="text1"/>
                <w:sz w:val="24"/>
                <w:szCs w:val="24"/>
              </w:rPr>
              <w:t xml:space="preserve"> The present study was performed as a cross-sectional study on all emergency medicine residents of Shahid Beheshti University of Medical Sciences in 2018-2019. Ten well-known </w:t>
            </w:r>
            <w:proofErr w:type="spellStart"/>
            <w:r w:rsidRPr="007567C8">
              <w:rPr>
                <w:rFonts w:ascii="Cambria" w:eastAsia="Times New Roman" w:hAnsi="Cambria" w:cs="B Zar"/>
                <w:color w:val="000000" w:themeColor="text1"/>
                <w:sz w:val="24"/>
                <w:szCs w:val="24"/>
              </w:rPr>
              <w:t>brady</w:t>
            </w:r>
            <w:proofErr w:type="spellEnd"/>
            <w:r w:rsidRPr="007567C8">
              <w:rPr>
                <w:rFonts w:ascii="Cambria" w:eastAsia="Times New Roman" w:hAnsi="Cambria" w:cs="B Zar"/>
                <w:color w:val="000000" w:themeColor="text1"/>
                <w:sz w:val="24"/>
                <w:szCs w:val="24"/>
              </w:rPr>
              <w:t>/</w:t>
            </w:r>
            <w:proofErr w:type="spellStart"/>
            <w:r w:rsidRPr="007567C8">
              <w:rPr>
                <w:rFonts w:ascii="Cambria" w:eastAsia="Times New Roman" w:hAnsi="Cambria" w:cs="B Zar"/>
                <w:color w:val="000000" w:themeColor="text1"/>
                <w:sz w:val="24"/>
                <w:szCs w:val="24"/>
              </w:rPr>
              <w:t>tachy</w:t>
            </w:r>
            <w:proofErr w:type="spellEnd"/>
            <w:r w:rsidRPr="007567C8">
              <w:rPr>
                <w:rFonts w:ascii="Cambria" w:eastAsia="Times New Roman" w:hAnsi="Cambria" w:cs="B Zar"/>
                <w:color w:val="000000" w:themeColor="text1"/>
                <w:sz w:val="24"/>
                <w:szCs w:val="24"/>
              </w:rPr>
              <w:t xml:space="preserve"> Dysrhythmia cases, which have a specific treatment, were simulated using a simulator and the measures taken by the residents in dealing with these cases were evaluated considering AHA standards. Items adhered to or not were scored as 1 and 0, respectively. Finally, the percentage of adherence to the guideline was calculated for each resident as well as all residents. </w:t>
            </w:r>
            <w:r w:rsidRPr="007567C8">
              <w:rPr>
                <w:rFonts w:ascii="Cambria" w:eastAsia="Times New Roman" w:hAnsi="Cambria" w:cs="B Zar"/>
                <w:b/>
                <w:bCs/>
                <w:color w:val="000000" w:themeColor="text1"/>
                <w:sz w:val="24"/>
                <w:szCs w:val="24"/>
              </w:rPr>
              <w:t>Results:</w:t>
            </w:r>
            <w:r w:rsidRPr="007567C8">
              <w:rPr>
                <w:rFonts w:ascii="Cambria" w:eastAsia="Times New Roman" w:hAnsi="Cambria" w:cs="B Zar"/>
                <w:color w:val="000000" w:themeColor="text1"/>
                <w:sz w:val="24"/>
                <w:szCs w:val="24"/>
              </w:rPr>
              <w:t xml:space="preserve"> In the common initial encounter with </w:t>
            </w:r>
            <w:proofErr w:type="spellStart"/>
            <w:r w:rsidRPr="007567C8">
              <w:rPr>
                <w:rFonts w:ascii="Cambria" w:eastAsia="Times New Roman" w:hAnsi="Cambria" w:cs="B Zar"/>
                <w:color w:val="000000" w:themeColor="text1"/>
                <w:sz w:val="24"/>
                <w:szCs w:val="24"/>
              </w:rPr>
              <w:t>brady</w:t>
            </w:r>
            <w:proofErr w:type="spellEnd"/>
            <w:r w:rsidRPr="007567C8">
              <w:rPr>
                <w:rFonts w:ascii="Cambria" w:eastAsia="Times New Roman" w:hAnsi="Cambria" w:cs="B Zar"/>
                <w:color w:val="000000" w:themeColor="text1"/>
                <w:sz w:val="24"/>
                <w:szCs w:val="24"/>
              </w:rPr>
              <w:t>/</w:t>
            </w:r>
            <w:proofErr w:type="spellStart"/>
            <w:r w:rsidRPr="007567C8">
              <w:rPr>
                <w:rFonts w:ascii="Cambria" w:eastAsia="Times New Roman" w:hAnsi="Cambria" w:cs="B Zar"/>
                <w:color w:val="000000" w:themeColor="text1"/>
                <w:sz w:val="24"/>
                <w:szCs w:val="24"/>
              </w:rPr>
              <w:t>tachy</w:t>
            </w:r>
            <w:proofErr w:type="spellEnd"/>
            <w:r w:rsidRPr="007567C8">
              <w:rPr>
                <w:rFonts w:ascii="Cambria" w:eastAsia="Times New Roman" w:hAnsi="Cambria" w:cs="B Zar"/>
                <w:color w:val="000000" w:themeColor="text1"/>
                <w:sz w:val="24"/>
                <w:szCs w:val="24"/>
              </w:rPr>
              <w:t xml:space="preserve"> dysrhythmia scenarios, all the residents performed well in diagnosis, assessing ventilation, asking for oxygen in case of hypoxia, cardiac assessment of the patient, pulse oximetry and blood pressure evaluation. Not ordering proper peripheral artery and 12 leads electrocardiogram in the proper time occurred in 25% of cases among those who had not studied the guideline and 13.8% of cases among those who had taken training classes. Studying the guideline significantly raised awareness of unstable symptoms in treating tachyarrhythmia, and increased diagnosis of wide and narrow QRS and regular and irregular rhythm, yet was not effective regarding use of adenosine for treatment of unstable symptoms with regular and narrow complex. In addition, studying the guideline significantly increased pointing out cardioversion, considering patient sedation before cardioversion and using proper cardioversion energy in treating unstable tachyarrhythmia. Studying the guideline significantly increased use of adenosine as well as procainamide and amiodarone in treating stable tachyarrhythmia with wide and monomorphic QRS, but did not affect using </w:t>
            </w:r>
            <w:proofErr w:type="spellStart"/>
            <w:r w:rsidRPr="007567C8">
              <w:rPr>
                <w:rFonts w:ascii="Cambria" w:eastAsia="Times New Roman" w:hAnsi="Cambria" w:cs="B Zar"/>
                <w:color w:val="000000" w:themeColor="text1"/>
                <w:sz w:val="24"/>
                <w:szCs w:val="24"/>
              </w:rPr>
              <w:t>sotalol</w:t>
            </w:r>
            <w:proofErr w:type="spellEnd"/>
            <w:r w:rsidRPr="007567C8">
              <w:rPr>
                <w:rFonts w:ascii="Cambria" w:eastAsia="Times New Roman" w:hAnsi="Cambria" w:cs="B Zar"/>
                <w:color w:val="000000" w:themeColor="text1"/>
                <w:sz w:val="24"/>
                <w:szCs w:val="24"/>
              </w:rPr>
              <w:t xml:space="preserve">. Studying the guideline led to significant increase in use of atropine as the first-line medication in treating unstable </w:t>
            </w:r>
            <w:proofErr w:type="spellStart"/>
            <w:r w:rsidRPr="007567C8">
              <w:rPr>
                <w:rFonts w:ascii="Cambria" w:eastAsia="Times New Roman" w:hAnsi="Cambria" w:cs="B Zar"/>
                <w:color w:val="000000" w:themeColor="text1"/>
                <w:sz w:val="24"/>
                <w:szCs w:val="24"/>
              </w:rPr>
              <w:t>brady</w:t>
            </w:r>
            <w:proofErr w:type="spellEnd"/>
            <w:r w:rsidRPr="007567C8">
              <w:rPr>
                <w:rFonts w:ascii="Cambria" w:eastAsia="Times New Roman" w:hAnsi="Cambria" w:cs="B Zar"/>
                <w:color w:val="000000" w:themeColor="text1"/>
                <w:sz w:val="24"/>
                <w:szCs w:val="24"/>
              </w:rPr>
              <w:t xml:space="preserve"> dysrhythmia. In addition, studying the guideline significantly increased the use of 3 temporary alternative treatments in treating unstable </w:t>
            </w:r>
            <w:proofErr w:type="spellStart"/>
            <w:r w:rsidRPr="007567C8">
              <w:rPr>
                <w:rFonts w:ascii="Cambria" w:eastAsia="Times New Roman" w:hAnsi="Cambria" w:cs="B Zar"/>
                <w:color w:val="000000" w:themeColor="text1"/>
                <w:sz w:val="24"/>
                <w:szCs w:val="24"/>
              </w:rPr>
              <w:t>brady</w:t>
            </w:r>
            <w:proofErr w:type="spellEnd"/>
            <w:r w:rsidRPr="007567C8">
              <w:rPr>
                <w:rFonts w:ascii="Cambria" w:eastAsia="Times New Roman" w:hAnsi="Cambria" w:cs="B Zar"/>
                <w:color w:val="000000" w:themeColor="text1"/>
                <w:sz w:val="24"/>
                <w:szCs w:val="24"/>
              </w:rPr>
              <w:t xml:space="preserve"> dysrhythmia. Studying the guideline did not affect asking for cardiology consultation and coordination for permanent treatment. </w:t>
            </w:r>
            <w:r w:rsidRPr="007567C8">
              <w:rPr>
                <w:rFonts w:ascii="Cambria" w:eastAsia="Times New Roman" w:hAnsi="Cambria" w:cs="B Zar"/>
                <w:b/>
                <w:bCs/>
                <w:color w:val="000000" w:themeColor="text1"/>
                <w:sz w:val="24"/>
                <w:szCs w:val="24"/>
              </w:rPr>
              <w:t xml:space="preserve">Conclusion: </w:t>
            </w:r>
            <w:r w:rsidRPr="007567C8">
              <w:rPr>
                <w:rFonts w:ascii="Cambria" w:eastAsia="Times New Roman" w:hAnsi="Cambria" w:cs="B Zar"/>
                <w:color w:val="000000" w:themeColor="text1"/>
                <w:sz w:val="24"/>
                <w:szCs w:val="24"/>
              </w:rPr>
              <w:t xml:space="preserve">The results of the present study showed that adherence to the guideline in the studied items of </w:t>
            </w:r>
            <w:proofErr w:type="spellStart"/>
            <w:r w:rsidRPr="007567C8">
              <w:rPr>
                <w:rFonts w:ascii="Cambria" w:eastAsia="Times New Roman" w:hAnsi="Cambria" w:cs="B Zar"/>
                <w:color w:val="000000" w:themeColor="text1"/>
                <w:sz w:val="24"/>
                <w:szCs w:val="24"/>
              </w:rPr>
              <w:t>tachy</w:t>
            </w:r>
            <w:proofErr w:type="spellEnd"/>
            <w:r w:rsidRPr="007567C8">
              <w:rPr>
                <w:rFonts w:ascii="Cambria" w:eastAsia="Times New Roman" w:hAnsi="Cambria" w:cs="B Zar"/>
                <w:color w:val="000000" w:themeColor="text1"/>
                <w:sz w:val="24"/>
                <w:szCs w:val="24"/>
              </w:rPr>
              <w:t>/</w:t>
            </w:r>
            <w:proofErr w:type="spellStart"/>
            <w:r w:rsidRPr="007567C8">
              <w:rPr>
                <w:rFonts w:ascii="Cambria" w:eastAsia="Times New Roman" w:hAnsi="Cambria" w:cs="B Zar"/>
                <w:color w:val="000000" w:themeColor="text1"/>
                <w:sz w:val="24"/>
                <w:szCs w:val="24"/>
              </w:rPr>
              <w:t>brady</w:t>
            </w:r>
            <w:proofErr w:type="spellEnd"/>
            <w:r w:rsidRPr="007567C8">
              <w:rPr>
                <w:rFonts w:ascii="Cambria" w:eastAsia="Times New Roman" w:hAnsi="Cambria" w:cs="B Zar"/>
                <w:color w:val="000000" w:themeColor="text1"/>
                <w:sz w:val="24"/>
                <w:szCs w:val="24"/>
              </w:rPr>
              <w:t xml:space="preserve"> </w:t>
            </w:r>
            <w:r w:rsidRPr="007567C8">
              <w:rPr>
                <w:rFonts w:ascii="Cambria" w:eastAsia="Times New Roman" w:hAnsi="Cambria" w:cs="B Zar"/>
                <w:color w:val="000000" w:themeColor="text1"/>
                <w:sz w:val="24"/>
                <w:szCs w:val="24"/>
              </w:rPr>
              <w:lastRenderedPageBreak/>
              <w:t>dysrhythmia ranged between 15% and 100%. Overall, passing the training program in addition to studying the guideline significantly improved the rate of adherence to AHA guideline in many cases.</w:t>
            </w:r>
          </w:p>
          <w:p w:rsidR="00C76BBA" w:rsidRPr="007567C8" w:rsidRDefault="00C76BBA" w:rsidP="00087B91">
            <w:pPr>
              <w:bidi w:val="0"/>
              <w:spacing w:after="0" w:line="240" w:lineRule="auto"/>
              <w:ind w:right="34"/>
              <w:rPr>
                <w:rFonts w:ascii="Cambria" w:eastAsia="Times New Roman" w:hAnsi="Cambria" w:cs="B Zar"/>
                <w:color w:val="000000" w:themeColor="text1"/>
                <w:sz w:val="24"/>
                <w:szCs w:val="24"/>
              </w:rPr>
            </w:pPr>
          </w:p>
        </w:tc>
      </w:tr>
      <w:tr w:rsidR="00C76BBA" w:rsidRPr="0034794E" w:rsidTr="00087B91">
        <w:tc>
          <w:tcPr>
            <w:tcW w:w="9356" w:type="dxa"/>
            <w:gridSpan w:val="2"/>
            <w:tcBorders>
              <w:top w:val="nil"/>
              <w:left w:val="nil"/>
              <w:bottom w:val="single" w:sz="4" w:space="0" w:color="auto"/>
              <w:right w:val="nil"/>
            </w:tcBorders>
            <w:hideMark/>
          </w:tcPr>
          <w:p w:rsidR="00C76BBA" w:rsidRPr="007567C8" w:rsidRDefault="00C76BBA" w:rsidP="00087B91">
            <w:pPr>
              <w:widowControl w:val="0"/>
              <w:bidi w:val="0"/>
              <w:spacing w:after="0" w:line="240" w:lineRule="auto"/>
              <w:rPr>
                <w:rFonts w:ascii="Cambria" w:eastAsia="Times New Roman" w:hAnsi="Cambria" w:cs="B Zar"/>
                <w:b/>
                <w:bCs/>
                <w:color w:val="000000" w:themeColor="text1"/>
                <w:spacing w:val="-14"/>
                <w:sz w:val="24"/>
                <w:szCs w:val="24"/>
              </w:rPr>
            </w:pPr>
            <w:r w:rsidRPr="007567C8">
              <w:rPr>
                <w:rFonts w:ascii="Cambria" w:eastAsia="Times New Roman" w:hAnsi="Cambria" w:cs="B Zar"/>
                <w:b/>
                <w:bCs/>
                <w:color w:val="000000" w:themeColor="text1"/>
                <w:spacing w:val="-14"/>
                <w:sz w:val="24"/>
                <w:szCs w:val="24"/>
              </w:rPr>
              <w:lastRenderedPageBreak/>
              <w:t xml:space="preserve">Key words: </w:t>
            </w:r>
            <w:r w:rsidRPr="007567C8">
              <w:rPr>
                <w:rFonts w:ascii="Cambria" w:eastAsia="Calibri" w:hAnsi="Cambria" w:cs="Arial"/>
                <w:sz w:val="24"/>
                <w:szCs w:val="24"/>
                <w:lang w:bidi="ar-SA"/>
              </w:rPr>
              <w:t>Tachycardia; bradycardia; American Heart Association; guideline adherence; cardiopulmonary resuscitation</w:t>
            </w:r>
          </w:p>
        </w:tc>
      </w:tr>
    </w:tbl>
    <w:p w:rsidR="007A6CD7" w:rsidRPr="00C76BBA" w:rsidRDefault="007A6CD7">
      <w:bookmarkStart w:id="21" w:name="_GoBack"/>
      <w:bookmarkEnd w:id="21"/>
    </w:p>
    <w:sectPr w:rsidR="007A6CD7" w:rsidRPr="00C7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BA"/>
    <w:rsid w:val="007A6CD7"/>
    <w:rsid w:val="00C76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F42DA-B98A-4C27-A545-E10630BC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BA"/>
    <w:pPr>
      <w:bidi/>
      <w:spacing w:after="200" w:line="276" w:lineRule="auto"/>
      <w:jc w:val="both"/>
    </w:pPr>
    <w:rPr>
      <w:rFonts w:cs="B Nazanin"/>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tle"/>
    <w:basedOn w:val="Normal"/>
    <w:uiPriority w:val="1"/>
    <w:qFormat/>
    <w:rsid w:val="00C76BBA"/>
    <w:pPr>
      <w:widowControl w:val="0"/>
      <w:spacing w:after="0" w:line="240" w:lineRule="auto"/>
    </w:pPr>
    <w:rPr>
      <w:rFonts w:ascii="Cambria" w:hAnsi="Cambria"/>
      <w:b/>
      <w:bCs/>
      <w:sz w:val="16"/>
      <w:szCs w:val="20"/>
    </w:rPr>
  </w:style>
  <w:style w:type="character" w:customStyle="1" w:styleId="EndNoteBibliographyChar">
    <w:name w:val="EndNote Bibliography Char"/>
    <w:basedOn w:val="DefaultParagraphFont"/>
    <w:link w:val="EndNoteBibliography"/>
    <w:semiHidden/>
    <w:locked/>
    <w:rsid w:val="00C76BBA"/>
    <w:rPr>
      <w:rFonts w:ascii="Calibri" w:hAnsi="Calibri" w:cs="Calibri"/>
      <w:noProof/>
      <w:szCs w:val="28"/>
      <w:lang w:bidi="fa-IR"/>
    </w:rPr>
  </w:style>
  <w:style w:type="paragraph" w:customStyle="1" w:styleId="EndNoteBibliography">
    <w:name w:val="EndNote Bibliography"/>
    <w:basedOn w:val="Normal"/>
    <w:link w:val="EndNoteBibliographyChar"/>
    <w:semiHidden/>
    <w:rsid w:val="00C76BBA"/>
    <w:pPr>
      <w:spacing w:line="240" w:lineRule="auto"/>
    </w:pPr>
    <w:rPr>
      <w:rFonts w:ascii="Calibri" w:hAnsi="Calibri" w:cs="Calibri"/>
      <w:noProof/>
      <w:sz w:val="22"/>
    </w:rPr>
  </w:style>
  <w:style w:type="table" w:styleId="TableGrid">
    <w:name w:val="Table Grid"/>
    <w:basedOn w:val="TableNormal"/>
    <w:uiPriority w:val="59"/>
    <w:rsid w:val="00C76BBA"/>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1</cp:revision>
  <dcterms:created xsi:type="dcterms:W3CDTF">2020-01-08T07:45:00Z</dcterms:created>
  <dcterms:modified xsi:type="dcterms:W3CDTF">2020-01-08T07:46:00Z</dcterms:modified>
</cp:coreProperties>
</file>