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61" w:rsidRDefault="00B86861" w:rsidP="00B86861">
      <w:pPr>
        <w:pStyle w:val="NoSpacing"/>
        <w:bidi w:val="0"/>
        <w:rPr>
          <w:sz w:val="28"/>
          <w:szCs w:val="36"/>
        </w:rPr>
        <w:sectPr w:rsidR="00B86861" w:rsidSect="00B86861">
          <w:pgSz w:w="12240" w:h="15840" w:code="1"/>
          <w:pgMar w:top="1440" w:right="1440" w:bottom="1440" w:left="1440" w:header="562" w:footer="562" w:gutter="0"/>
          <w:cols w:num="2"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B86861" w:rsidTr="006D405F">
        <w:tc>
          <w:tcPr>
            <w:tcW w:w="9350" w:type="dxa"/>
            <w:shd w:val="clear" w:color="auto" w:fill="16258F"/>
          </w:tcPr>
          <w:p w:rsidR="00B86861" w:rsidRDefault="00B86861" w:rsidP="006D405F">
            <w:pPr>
              <w:pStyle w:val="NoSpacing"/>
              <w:bidi w:val="0"/>
              <w:jc w:val="center"/>
              <w:rPr>
                <w:rFonts w:eastAsia="Times New Roman" w:cs="B Zar"/>
                <w:b w:val="0"/>
                <w:bCs w:val="0"/>
                <w:sz w:val="28"/>
                <w:szCs w:val="28"/>
              </w:rPr>
            </w:pPr>
            <w:r>
              <w:rPr>
                <w:sz w:val="28"/>
                <w:szCs w:val="36"/>
              </w:rPr>
              <w:t>ORIGINAL ARTICLE</w:t>
            </w:r>
          </w:p>
        </w:tc>
      </w:tr>
    </w:tbl>
    <w:p w:rsidR="00B86861" w:rsidRPr="00B94147" w:rsidRDefault="00B86861" w:rsidP="00B86861">
      <w:pPr>
        <w:widowControl w:val="0"/>
        <w:bidi w:val="0"/>
        <w:rPr>
          <w:rFonts w:eastAsia="Times New Roman" w:cs="B Zar"/>
          <w:b/>
          <w:bCs/>
          <w:sz w:val="24"/>
          <w:szCs w:val="24"/>
        </w:rPr>
      </w:pPr>
    </w:p>
    <w:p w:rsidR="00B86861" w:rsidRPr="00BE2B2E" w:rsidRDefault="00B86861" w:rsidP="00B86861">
      <w:pPr>
        <w:widowControl w:val="0"/>
        <w:bidi w:val="0"/>
        <w:rPr>
          <w:rFonts w:eastAsia="Times New Roman" w:cs="B Zar"/>
          <w:b/>
          <w:bCs/>
          <w:color w:val="000000" w:themeColor="text1"/>
          <w:sz w:val="28"/>
          <w:szCs w:val="28"/>
        </w:rPr>
      </w:pPr>
      <w:r w:rsidRPr="00BE2B2E">
        <w:rPr>
          <w:rFonts w:eastAsia="Times New Roman" w:cs="B Zar"/>
          <w:b/>
          <w:bCs/>
          <w:color w:val="000000" w:themeColor="text1"/>
          <w:sz w:val="28"/>
          <w:szCs w:val="28"/>
        </w:rPr>
        <w:t>Cognitive status of patients One Year After Mild Traumatic Brain Injury :A Case – Control Study</w:t>
      </w:r>
    </w:p>
    <w:p w:rsidR="00B86861" w:rsidRPr="00BE2B2E" w:rsidRDefault="00B86861" w:rsidP="00B86861">
      <w:pPr>
        <w:widowControl w:val="0"/>
        <w:bidi w:val="0"/>
        <w:rPr>
          <w:rFonts w:asciiTheme="majorBidi" w:eastAsia="Times New Roman" w:hAnsiTheme="majorBidi" w:cs="B Zar"/>
          <w:b/>
          <w:bCs/>
          <w:color w:val="000000" w:themeColor="text1"/>
          <w:sz w:val="28"/>
          <w:szCs w:val="28"/>
        </w:rPr>
      </w:pPr>
    </w:p>
    <w:p w:rsidR="00B86861" w:rsidRPr="00BE2B2E" w:rsidRDefault="00B86861" w:rsidP="00B86861">
      <w:pPr>
        <w:widowControl w:val="0"/>
        <w:bidi w:val="0"/>
        <w:rPr>
          <w:rFonts w:eastAsia="Times New Roman" w:cs="B Zar"/>
          <w:color w:val="000000" w:themeColor="text1"/>
          <w:sz w:val="20"/>
          <w:vertAlign w:val="superscript"/>
        </w:rPr>
      </w:pPr>
      <w:r w:rsidRPr="00BE2B2E">
        <w:rPr>
          <w:rFonts w:eastAsia="Times New Roman" w:cs="B Zar"/>
          <w:color w:val="000000" w:themeColor="text1"/>
          <w:sz w:val="20"/>
        </w:rPr>
        <w:t xml:space="preserve">Mohaddeseh Mozafari </w:t>
      </w:r>
      <w:r w:rsidRPr="00BE2B2E">
        <w:rPr>
          <w:rFonts w:eastAsia="Times New Roman" w:cs="B Zar"/>
          <w:color w:val="000000" w:themeColor="text1"/>
          <w:sz w:val="20"/>
          <w:vertAlign w:val="superscript"/>
        </w:rPr>
        <w:t>1*</w:t>
      </w:r>
      <w:r w:rsidRPr="00BE2B2E">
        <w:rPr>
          <w:rFonts w:eastAsia="Times New Roman" w:cs="B Zar"/>
          <w:color w:val="000000" w:themeColor="text1"/>
          <w:sz w:val="20"/>
        </w:rPr>
        <w:t xml:space="preserve">, Seyyed Abolghasem Mehri Nejad </w:t>
      </w:r>
      <w:r w:rsidRPr="00BE2B2E">
        <w:rPr>
          <w:rFonts w:eastAsia="Times New Roman" w:cs="B Zar"/>
          <w:color w:val="000000" w:themeColor="text1"/>
          <w:sz w:val="20"/>
          <w:vertAlign w:val="superscript"/>
        </w:rPr>
        <w:t>2</w:t>
      </w:r>
      <w:r w:rsidRPr="00BE2B2E">
        <w:rPr>
          <w:rFonts w:eastAsia="Times New Roman" w:cs="B Zar"/>
          <w:color w:val="000000" w:themeColor="text1"/>
          <w:sz w:val="20"/>
        </w:rPr>
        <w:t xml:space="preserve">, Mehrangiz Peyvstegar </w:t>
      </w:r>
      <w:r w:rsidRPr="00BE2B2E">
        <w:rPr>
          <w:rFonts w:eastAsia="Times New Roman" w:cs="B Zar"/>
          <w:color w:val="000000" w:themeColor="text1"/>
          <w:sz w:val="20"/>
          <w:vertAlign w:val="superscript"/>
        </w:rPr>
        <w:t>2</w:t>
      </w:r>
      <w:r w:rsidRPr="00BE2B2E">
        <w:rPr>
          <w:rFonts w:eastAsia="Times New Roman" w:cs="B Zar"/>
          <w:color w:val="000000" w:themeColor="text1"/>
          <w:sz w:val="20"/>
        </w:rPr>
        <w:t>, Masoud Saghafinia</w:t>
      </w:r>
      <w:r w:rsidRPr="00BE2B2E">
        <w:rPr>
          <w:rFonts w:eastAsia="Times New Roman" w:cs="B Zar"/>
          <w:color w:val="000000" w:themeColor="text1"/>
          <w:sz w:val="20"/>
          <w:vertAlign w:val="superscript"/>
        </w:rPr>
        <w:t xml:space="preserve"> 3</w:t>
      </w:r>
      <w:r w:rsidRPr="00BE2B2E">
        <w:rPr>
          <w:rFonts w:eastAsia="Times New Roman" w:cs="B Zar"/>
          <w:color w:val="000000" w:themeColor="text1"/>
          <w:sz w:val="20"/>
        </w:rPr>
        <w:t xml:space="preserve">, Siamak Soltani </w:t>
      </w:r>
      <w:r w:rsidRPr="00BE2B2E">
        <w:rPr>
          <w:rFonts w:eastAsia="Times New Roman" w:cs="B Zar"/>
          <w:color w:val="000000" w:themeColor="text1"/>
          <w:sz w:val="20"/>
          <w:vertAlign w:val="superscript"/>
        </w:rPr>
        <w:t>4</w:t>
      </w:r>
    </w:p>
    <w:p w:rsidR="00B86861" w:rsidRPr="00BE2B2E" w:rsidRDefault="00B86861" w:rsidP="00B86861">
      <w:pPr>
        <w:widowControl w:val="0"/>
        <w:bidi w:val="0"/>
        <w:rPr>
          <w:rFonts w:eastAsia="Times New Roman" w:cs="B Zar"/>
          <w:color w:val="000000" w:themeColor="text1"/>
          <w:sz w:val="20"/>
        </w:rPr>
      </w:pPr>
    </w:p>
    <w:p w:rsidR="00B86861" w:rsidRPr="00BE2B2E" w:rsidRDefault="00B86861" w:rsidP="00B86861">
      <w:pPr>
        <w:widowControl w:val="0"/>
        <w:bidi w:val="0"/>
        <w:rPr>
          <w:rFonts w:eastAsia="Times New Roman" w:cs="B Zar"/>
          <w:color w:val="000000" w:themeColor="text1"/>
          <w:szCs w:val="16"/>
        </w:rPr>
      </w:pPr>
      <w:r w:rsidRPr="00BE2B2E">
        <w:rPr>
          <w:rFonts w:eastAsia="Times New Roman" w:cs="B Zar"/>
          <w:color w:val="000000" w:themeColor="text1"/>
          <w:szCs w:val="16"/>
        </w:rPr>
        <w:t xml:space="preserve">1. </w:t>
      </w:r>
      <w:r w:rsidRPr="00BE2B2E">
        <w:rPr>
          <w:rStyle w:val="tlid-translation"/>
          <w:color w:val="000000" w:themeColor="text1"/>
          <w:lang w:val="en"/>
        </w:rPr>
        <w:t>PhD student of Psychology, Faculty of Educational Science and Psychology</w:t>
      </w:r>
      <w:r w:rsidRPr="00BE2B2E">
        <w:rPr>
          <w:rFonts w:eastAsia="Times New Roman" w:cs="B Zar"/>
          <w:color w:val="000000" w:themeColor="text1"/>
          <w:szCs w:val="16"/>
        </w:rPr>
        <w:t xml:space="preserve">,Alzhra University, Tehran, Iran. </w:t>
      </w:r>
    </w:p>
    <w:p w:rsidR="00B86861" w:rsidRPr="00BE2B2E" w:rsidRDefault="00B86861" w:rsidP="00B86861">
      <w:pPr>
        <w:widowControl w:val="0"/>
        <w:bidi w:val="0"/>
        <w:rPr>
          <w:rFonts w:eastAsia="Times New Roman" w:cs="B Zar"/>
          <w:color w:val="000000" w:themeColor="text1"/>
          <w:szCs w:val="16"/>
        </w:rPr>
      </w:pPr>
      <w:r w:rsidRPr="00BE2B2E">
        <w:rPr>
          <w:rFonts w:eastAsia="Times New Roman" w:cs="B Zar"/>
          <w:color w:val="000000" w:themeColor="text1"/>
          <w:szCs w:val="16"/>
        </w:rPr>
        <w:t xml:space="preserve">2. Associate Professor  </w:t>
      </w:r>
      <w:r w:rsidRPr="00BE2B2E">
        <w:rPr>
          <w:rStyle w:val="tlid-translation"/>
          <w:color w:val="000000" w:themeColor="text1"/>
          <w:lang w:val="en"/>
        </w:rPr>
        <w:t>of Psychology</w:t>
      </w:r>
      <w:r w:rsidRPr="00BE2B2E">
        <w:rPr>
          <w:rFonts w:eastAsia="Times New Roman" w:cs="B Zar"/>
          <w:color w:val="000000" w:themeColor="text1"/>
          <w:szCs w:val="16"/>
        </w:rPr>
        <w:t xml:space="preserve">, Faculty of Educational and Psychology Alzhra University, Tehran, Iran </w:t>
      </w:r>
    </w:p>
    <w:p w:rsidR="00B86861" w:rsidRPr="00BE2B2E" w:rsidRDefault="00B86861" w:rsidP="00B86861">
      <w:pPr>
        <w:widowControl w:val="0"/>
        <w:bidi w:val="0"/>
        <w:rPr>
          <w:rFonts w:eastAsia="Times New Roman" w:cs="B Zar"/>
          <w:color w:val="000000" w:themeColor="text1"/>
          <w:szCs w:val="16"/>
        </w:rPr>
      </w:pPr>
      <w:r w:rsidRPr="00BE2B2E">
        <w:rPr>
          <w:rFonts w:eastAsia="Times New Roman" w:cs="B Zar"/>
          <w:color w:val="000000" w:themeColor="text1"/>
          <w:szCs w:val="16"/>
        </w:rPr>
        <w:t>3. Associate Professor of Psychology, Faculty of Educational and Psychology Alzhra University, Tehran, Iran</w:t>
      </w:r>
    </w:p>
    <w:p w:rsidR="00B86861" w:rsidRPr="00BE2B2E" w:rsidRDefault="00B86861" w:rsidP="00B86861">
      <w:pPr>
        <w:widowControl w:val="0"/>
        <w:bidi w:val="0"/>
        <w:rPr>
          <w:rFonts w:eastAsia="Times New Roman" w:cs="B Zar"/>
          <w:color w:val="000000" w:themeColor="text1"/>
          <w:szCs w:val="16"/>
        </w:rPr>
      </w:pPr>
      <w:r w:rsidRPr="00BE2B2E">
        <w:rPr>
          <w:rFonts w:eastAsia="Times New Roman" w:cs="B Zar"/>
          <w:color w:val="000000" w:themeColor="text1"/>
          <w:szCs w:val="16"/>
        </w:rPr>
        <w:t>4. Associate Professor</w:t>
      </w:r>
      <w:r w:rsidRPr="00BE2B2E">
        <w:rPr>
          <w:rStyle w:val="Heading1Char"/>
          <w:color w:val="000000" w:themeColor="text1"/>
          <w:lang w:val="en"/>
        </w:rPr>
        <w:t xml:space="preserve"> </w:t>
      </w:r>
      <w:r w:rsidRPr="00BE2B2E">
        <w:rPr>
          <w:rStyle w:val="tlid-translation"/>
          <w:color w:val="000000" w:themeColor="text1"/>
          <w:lang w:val="en"/>
        </w:rPr>
        <w:t>of Anesthesiology, Faculty of Medicine,</w:t>
      </w:r>
      <w:r w:rsidRPr="00BE2B2E">
        <w:rPr>
          <w:rFonts w:eastAsia="Times New Roman" w:cs="B Zar"/>
          <w:color w:val="000000" w:themeColor="text1"/>
          <w:szCs w:val="16"/>
        </w:rPr>
        <w:t xml:space="preserve"> Baqiyatallah University, Tehran, Iran.</w:t>
      </w:r>
    </w:p>
    <w:p w:rsidR="00B86861" w:rsidRPr="00BE2B2E" w:rsidRDefault="00B86861" w:rsidP="00B86861">
      <w:pPr>
        <w:widowControl w:val="0"/>
        <w:bidi w:val="0"/>
        <w:rPr>
          <w:rFonts w:eastAsia="Times New Roman" w:cs="B Zar"/>
          <w:color w:val="000000" w:themeColor="text1"/>
          <w:szCs w:val="16"/>
        </w:rPr>
      </w:pPr>
      <w:r w:rsidRPr="00BE2B2E">
        <w:rPr>
          <w:rFonts w:eastAsia="Times New Roman" w:cs="B Zar"/>
          <w:color w:val="000000" w:themeColor="text1"/>
          <w:szCs w:val="16"/>
        </w:rPr>
        <w:t xml:space="preserve">5. Assistant Professor </w:t>
      </w:r>
      <w:r w:rsidRPr="00BE2B2E">
        <w:rPr>
          <w:rStyle w:val="tlid-translation"/>
          <w:color w:val="000000" w:themeColor="text1"/>
          <w:lang w:val="en"/>
        </w:rPr>
        <w:t>of Forensic Medicine, Faculty of Medicine,</w:t>
      </w:r>
      <w:r w:rsidRPr="00BE2B2E">
        <w:rPr>
          <w:rFonts w:eastAsia="Times New Roman" w:cs="B Zar"/>
          <w:color w:val="000000" w:themeColor="text1"/>
          <w:szCs w:val="16"/>
        </w:rPr>
        <w:t xml:space="preserve"> Iran University, Tehran, Iran.</w:t>
      </w:r>
    </w:p>
    <w:p w:rsidR="00B86861" w:rsidRPr="00BE2B2E" w:rsidRDefault="00B86861" w:rsidP="00B86861">
      <w:pPr>
        <w:widowControl w:val="0"/>
        <w:bidi w:val="0"/>
        <w:rPr>
          <w:rFonts w:eastAsia="Times New Roman" w:cs="B Zar"/>
          <w:color w:val="000000" w:themeColor="text1"/>
          <w:szCs w:val="16"/>
        </w:rPr>
      </w:pPr>
    </w:p>
    <w:p w:rsidR="00B86861" w:rsidRPr="00BE2B2E" w:rsidRDefault="00B86861" w:rsidP="00B86861">
      <w:pPr>
        <w:widowControl w:val="0"/>
        <w:bidi w:val="0"/>
        <w:jc w:val="left"/>
        <w:rPr>
          <w:rFonts w:eastAsia="Times New Roman" w:cs="B Zar"/>
          <w:color w:val="000000" w:themeColor="text1"/>
          <w:szCs w:val="16"/>
        </w:rPr>
      </w:pPr>
      <w:r w:rsidRPr="00BE2B2E">
        <w:rPr>
          <w:rFonts w:eastAsia="Times New Roman" w:cs="B Zar"/>
          <w:b/>
          <w:bCs/>
          <w:color w:val="000000" w:themeColor="text1"/>
          <w:szCs w:val="16"/>
        </w:rPr>
        <w:t>*Corresponding author:</w:t>
      </w:r>
      <w:r w:rsidRPr="00BE2B2E">
        <w:rPr>
          <w:rFonts w:eastAsia="Times New Roman" w:cs="B Zar"/>
          <w:color w:val="000000" w:themeColor="text1"/>
          <w:szCs w:val="16"/>
        </w:rPr>
        <w:t xml:space="preserve"> Mohaddeseh Mozafari. Phone: 09125730179</w:t>
      </w:r>
      <w:r>
        <w:rPr>
          <w:rFonts w:eastAsia="Times New Roman" w:cs="B Zar"/>
          <w:color w:val="000000" w:themeColor="text1"/>
          <w:szCs w:val="16"/>
        </w:rPr>
        <w:t>,</w:t>
      </w:r>
      <w:r w:rsidRPr="00BE2B2E">
        <w:rPr>
          <w:rFonts w:eastAsia="Times New Roman" w:cs="B Zar"/>
          <w:color w:val="000000" w:themeColor="text1"/>
          <w:szCs w:val="16"/>
        </w:rPr>
        <w:t xml:space="preserve"> E-mail: </w:t>
      </w:r>
      <w:hyperlink r:id="rId4" w:history="1">
        <w:r w:rsidRPr="00BE2B2E">
          <w:rPr>
            <w:rStyle w:val="Hyperlink"/>
            <w:rFonts w:eastAsia="Times New Roman" w:cs="B Zar"/>
            <w:color w:val="000000" w:themeColor="text1"/>
            <w:szCs w:val="16"/>
          </w:rPr>
          <w:t>mmozafari419@gmail.com</w:t>
        </w:r>
      </w:hyperlink>
      <w:r w:rsidRPr="00BE2B2E">
        <w:rPr>
          <w:rFonts w:eastAsia="Times New Roman" w:cs="B Zar" w:hint="cs"/>
          <w:color w:val="000000" w:themeColor="text1"/>
          <w:szCs w:val="16"/>
          <w:rtl/>
        </w:rPr>
        <w:t>.</w:t>
      </w:r>
      <w:r w:rsidRPr="00BE2B2E">
        <w:rPr>
          <w:rFonts w:eastAsia="Times New Roman" w:cs="B Zar"/>
          <w:color w:val="000000" w:themeColor="text1"/>
          <w:szCs w:val="16"/>
        </w:rPr>
        <w:t xml:space="preserve"> </w:t>
      </w:r>
    </w:p>
    <w:p w:rsidR="00B86861" w:rsidRPr="00675BD0" w:rsidRDefault="00B86861" w:rsidP="00B86861">
      <w:pPr>
        <w:widowControl w:val="0"/>
        <w:bidi w:val="0"/>
        <w:rPr>
          <w:rFonts w:eastAsia="Times New Roman" w:cs="B Zar"/>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B86861" w:rsidRPr="00675BD0" w:rsidTr="006D405F">
        <w:tc>
          <w:tcPr>
            <w:tcW w:w="1152" w:type="dxa"/>
            <w:shd w:val="clear" w:color="auto" w:fill="16258F"/>
          </w:tcPr>
          <w:p w:rsidR="00B86861" w:rsidRPr="00675BD0" w:rsidRDefault="00B86861" w:rsidP="006D405F">
            <w:pPr>
              <w:pStyle w:val="NoSpacing"/>
              <w:bidi w:val="0"/>
              <w:jc w:val="left"/>
              <w:rPr>
                <w:rFonts w:eastAsia="Times New Roman" w:cs="B Zar"/>
                <w:b w:val="0"/>
                <w:bCs w:val="0"/>
                <w:sz w:val="23"/>
                <w:szCs w:val="23"/>
              </w:rPr>
            </w:pPr>
            <w:r w:rsidRPr="00675BD0">
              <w:rPr>
                <w:sz w:val="23"/>
                <w:szCs w:val="23"/>
              </w:rPr>
              <w:t>Abstract</w:t>
            </w:r>
          </w:p>
        </w:tc>
        <w:tc>
          <w:tcPr>
            <w:tcW w:w="8204" w:type="dxa"/>
          </w:tcPr>
          <w:p w:rsidR="00B86861" w:rsidRPr="00675BD0" w:rsidRDefault="00B86861" w:rsidP="006D405F">
            <w:pPr>
              <w:widowControl w:val="0"/>
              <w:bidi w:val="0"/>
              <w:rPr>
                <w:rFonts w:eastAsia="Times New Roman" w:cs="B Zar"/>
                <w:b/>
                <w:bCs/>
                <w:sz w:val="23"/>
                <w:szCs w:val="23"/>
              </w:rPr>
            </w:pPr>
          </w:p>
        </w:tc>
      </w:tr>
      <w:tr w:rsidR="00B86861" w:rsidRPr="00675BD0" w:rsidTr="006D405F">
        <w:tc>
          <w:tcPr>
            <w:tcW w:w="9356" w:type="dxa"/>
            <w:gridSpan w:val="2"/>
          </w:tcPr>
          <w:p w:rsidR="00B86861" w:rsidRPr="00675BD0" w:rsidRDefault="00B86861" w:rsidP="006D405F">
            <w:pPr>
              <w:bidi w:val="0"/>
              <w:ind w:right="34"/>
              <w:rPr>
                <w:rFonts w:eastAsia="Times New Roman" w:cs="B Zar"/>
                <w:sz w:val="23"/>
                <w:szCs w:val="23"/>
              </w:rPr>
            </w:pPr>
            <w:r w:rsidRPr="00675BD0">
              <w:rPr>
                <w:rFonts w:eastAsia="Times New Roman" w:cs="B Zar"/>
                <w:b/>
                <w:bCs/>
                <w:sz w:val="23"/>
                <w:szCs w:val="23"/>
              </w:rPr>
              <w:t>Introduction:</w:t>
            </w:r>
            <w:r w:rsidRPr="00675BD0">
              <w:rPr>
                <w:rFonts w:eastAsia="Times New Roman" w:cs="B Zar"/>
                <w:sz w:val="23"/>
                <w:szCs w:val="23"/>
              </w:rPr>
              <w:t xml:space="preserve"> </w:t>
            </w:r>
            <w:r w:rsidRPr="007C59BA">
              <w:rPr>
                <w:rFonts w:eastAsia="Times New Roman" w:cs="B Zar"/>
                <w:sz w:val="23"/>
                <w:szCs w:val="23"/>
              </w:rPr>
              <w:t>Previous researches have yield contradictory results in the studies of cognitive dysfunction following Mild Traumatic Brain Injury (</w:t>
            </w:r>
            <w:r>
              <w:rPr>
                <w:rFonts w:eastAsia="Times New Roman" w:cs="B Zar"/>
                <w:sz w:val="23"/>
                <w:szCs w:val="23"/>
              </w:rPr>
              <w:t xml:space="preserve">MTBI </w:t>
            </w:r>
            <w:r w:rsidRPr="007C59BA">
              <w:rPr>
                <w:rFonts w:eastAsia="Times New Roman" w:cs="B Zar"/>
                <w:sz w:val="23"/>
                <w:szCs w:val="23"/>
              </w:rPr>
              <w:t>). This research was also designed and conducted to compare the cognitive condition of two areas of attention strength and executive functions in healthy people and patients wi</w:t>
            </w:r>
            <w:r>
              <w:rPr>
                <w:rFonts w:eastAsia="Times New Roman" w:cs="B Zar"/>
                <w:sz w:val="23"/>
                <w:szCs w:val="23"/>
              </w:rPr>
              <w:t xml:space="preserve">th MTBI  one year after trauma. </w:t>
            </w:r>
            <w:r w:rsidRPr="00675BD0">
              <w:rPr>
                <w:rFonts w:eastAsia="Times New Roman" w:cs="B Zar"/>
                <w:b/>
                <w:bCs/>
                <w:sz w:val="23"/>
                <w:szCs w:val="23"/>
              </w:rPr>
              <w:t>Methods:</w:t>
            </w:r>
            <w:r w:rsidRPr="00675BD0">
              <w:rPr>
                <w:rFonts w:eastAsia="Times New Roman" w:cs="B Zar"/>
                <w:sz w:val="23"/>
                <w:szCs w:val="23"/>
              </w:rPr>
              <w:t xml:space="preserve"> </w:t>
            </w:r>
            <w:r w:rsidRPr="007C59BA">
              <w:rPr>
                <w:rFonts w:eastAsia="Times New Roman" w:cs="B Zar"/>
                <w:sz w:val="23"/>
                <w:szCs w:val="23"/>
              </w:rPr>
              <w:t xml:space="preserve">In this Case- control study, which was conducted from February 2017 to October 2018, 48  male Patien with </w:t>
            </w:r>
            <w:r>
              <w:rPr>
                <w:rFonts w:eastAsia="Times New Roman" w:cs="B Zar"/>
                <w:sz w:val="23"/>
                <w:szCs w:val="23"/>
              </w:rPr>
              <w:t xml:space="preserve">MTBI </w:t>
            </w:r>
            <w:r w:rsidRPr="007C59BA">
              <w:rPr>
                <w:rFonts w:eastAsia="Times New Roman" w:cs="B Zar"/>
                <w:sz w:val="23"/>
                <w:szCs w:val="23"/>
              </w:rPr>
              <w:t xml:space="preserve">  aged between 30 to 55 years old who were admitted to the intensive care unit of Shohadaye Haftome Tir and Baqiyatallah Hospitals in Theran were randomly selected as case group and 64 healthy men subjects with similar age range as control group. Participants were evaluated using Stroop. and Wisconsin tests in terms of cognitive function. </w:t>
            </w:r>
            <w:r>
              <w:rPr>
                <w:rFonts w:eastAsia="Times New Roman" w:cs="B Zar"/>
                <w:sz w:val="23"/>
                <w:szCs w:val="23"/>
              </w:rPr>
              <w:t xml:space="preserve"> </w:t>
            </w:r>
            <w:r w:rsidRPr="00675BD0">
              <w:rPr>
                <w:rFonts w:eastAsia="Times New Roman" w:cs="B Zar"/>
                <w:b/>
                <w:bCs/>
                <w:sz w:val="23"/>
                <w:szCs w:val="23"/>
              </w:rPr>
              <w:t>Results:</w:t>
            </w:r>
            <w:r w:rsidRPr="00675BD0">
              <w:rPr>
                <w:rFonts w:eastAsia="Times New Roman" w:cs="B Zar"/>
                <w:sz w:val="23"/>
                <w:szCs w:val="23"/>
              </w:rPr>
              <w:t xml:space="preserve"> </w:t>
            </w:r>
            <w:r w:rsidRPr="007C59BA">
              <w:rPr>
                <w:rFonts w:eastAsia="Times New Roman" w:cs="B Zar"/>
                <w:sz w:val="23"/>
                <w:szCs w:val="23"/>
              </w:rPr>
              <w:t xml:space="preserve">The results of the study showed that the mean and standard deviation of the age of </w:t>
            </w:r>
            <w:r>
              <w:rPr>
                <w:rFonts w:eastAsia="Times New Roman" w:cs="B Zar"/>
                <w:sz w:val="23"/>
                <w:szCs w:val="23"/>
              </w:rPr>
              <w:t xml:space="preserve">MTBI </w:t>
            </w:r>
            <w:r w:rsidRPr="007C59BA">
              <w:rPr>
                <w:rFonts w:eastAsia="Times New Roman" w:cs="B Zar"/>
                <w:sz w:val="23"/>
                <w:szCs w:val="23"/>
              </w:rPr>
              <w:t>patients were 41.17 a</w:t>
            </w:r>
            <w:r>
              <w:rPr>
                <w:rFonts w:eastAsia="Times New Roman" w:cs="B Zar"/>
                <w:sz w:val="23"/>
                <w:szCs w:val="23"/>
              </w:rPr>
              <w:t>nd</w:t>
            </w:r>
            <w:r w:rsidRPr="00CE29DC">
              <w:rPr>
                <w:rFonts w:eastAsia="Times New Roman" w:cs="B Zar"/>
                <w:sz w:val="23"/>
                <w:szCs w:val="23"/>
              </w:rPr>
              <w:t xml:space="preserve"> 8.25</w:t>
            </w:r>
            <w:r w:rsidRPr="007C59BA">
              <w:rPr>
                <w:rFonts w:eastAsia="Times New Roman" w:cs="B Zar"/>
                <w:sz w:val="23"/>
                <w:szCs w:val="23"/>
              </w:rPr>
              <w:t xml:space="preserve">, respectively, and the mean and standard deviation of </w:t>
            </w:r>
            <w:r>
              <w:rPr>
                <w:rFonts w:eastAsia="Times New Roman" w:cs="B Zar"/>
                <w:sz w:val="23"/>
                <w:szCs w:val="23"/>
              </w:rPr>
              <w:t xml:space="preserve">healthy subjects were 41.81 and </w:t>
            </w:r>
            <w:r w:rsidRPr="00CC3618">
              <w:rPr>
                <w:rFonts w:eastAsia="Times New Roman" w:cs="B Zar"/>
                <w:sz w:val="23"/>
                <w:szCs w:val="23"/>
              </w:rPr>
              <w:t>8.609</w:t>
            </w:r>
            <w:r w:rsidRPr="007C59BA">
              <w:rPr>
                <w:rFonts w:eastAsia="Times New Roman" w:cs="B Zar"/>
                <w:sz w:val="23"/>
                <w:szCs w:val="23"/>
              </w:rPr>
              <w:t xml:space="preserve">, respectively. The two group had significantly difference (p&lt;0/01), in the areas executive functions at the levels of Categories, Perseverative, correct and error responses, number of trials to complete first category and conceptual level responses. The two group had significantly difference (p&lt;0/05), In the attention </w:t>
            </w:r>
            <w:r>
              <w:rPr>
                <w:rFonts w:eastAsia="Times New Roman" w:cs="B Zar"/>
                <w:sz w:val="23"/>
                <w:szCs w:val="23"/>
              </w:rPr>
              <w:t xml:space="preserve">test at the level of score of </w:t>
            </w:r>
            <w:r w:rsidRPr="007C59BA">
              <w:rPr>
                <w:rFonts w:eastAsia="Times New Roman" w:cs="B Zar"/>
                <w:sz w:val="23"/>
                <w:szCs w:val="23"/>
              </w:rPr>
              <w:t>interference</w:t>
            </w:r>
            <w:r>
              <w:rPr>
                <w:rFonts w:eastAsia="Times New Roman" w:cs="B Zar"/>
                <w:sz w:val="23"/>
                <w:szCs w:val="23"/>
              </w:rPr>
              <w:t xml:space="preserve"> </w:t>
            </w:r>
            <w:r w:rsidRPr="007C59BA">
              <w:rPr>
                <w:rFonts w:eastAsia="Times New Roman" w:cs="B Zar"/>
                <w:sz w:val="23"/>
                <w:szCs w:val="23"/>
              </w:rPr>
              <w:t>but</w:t>
            </w:r>
            <w:r>
              <w:rPr>
                <w:rFonts w:eastAsia="Times New Roman" w:cs="B Zar"/>
                <w:sz w:val="23"/>
                <w:szCs w:val="23"/>
              </w:rPr>
              <w:t xml:space="preserve"> </w:t>
            </w:r>
            <w:r w:rsidRPr="007C59BA">
              <w:rPr>
                <w:rFonts w:eastAsia="Times New Roman" w:cs="B Zar"/>
                <w:sz w:val="23"/>
                <w:szCs w:val="23"/>
              </w:rPr>
              <w:t>t</w:t>
            </w:r>
            <w:r>
              <w:rPr>
                <w:rFonts w:eastAsia="Times New Roman" w:cs="B Zar"/>
                <w:sz w:val="23"/>
                <w:szCs w:val="23"/>
              </w:rPr>
              <w:t xml:space="preserve">he </w:t>
            </w:r>
            <w:r w:rsidRPr="007C59BA">
              <w:rPr>
                <w:rFonts w:eastAsia="Times New Roman" w:cs="B Zar"/>
                <w:sz w:val="23"/>
                <w:szCs w:val="23"/>
              </w:rPr>
              <w:t xml:space="preserve">two groups had not significantly difference for interference time (p&gt;0/05). Patients with </w:t>
            </w:r>
            <w:r>
              <w:rPr>
                <w:rFonts w:eastAsia="Times New Roman" w:cs="B Zar"/>
                <w:sz w:val="23"/>
                <w:szCs w:val="23"/>
              </w:rPr>
              <w:t xml:space="preserve">MTBI </w:t>
            </w:r>
            <w:r w:rsidRPr="007C59BA">
              <w:rPr>
                <w:rFonts w:eastAsia="Times New Roman" w:cs="B Zar"/>
                <w:sz w:val="23"/>
                <w:szCs w:val="23"/>
              </w:rPr>
              <w:t xml:space="preserve"> had overall poorer results for all the tests than healthy people. </w:t>
            </w:r>
            <w:r w:rsidRPr="00F32CF8">
              <w:rPr>
                <w:rFonts w:eastAsia="Times New Roman" w:cs="B Zar"/>
                <w:b/>
                <w:bCs/>
                <w:sz w:val="23"/>
                <w:szCs w:val="23"/>
              </w:rPr>
              <w:t>Conclusion:</w:t>
            </w:r>
            <w:r w:rsidRPr="00F32CF8">
              <w:rPr>
                <w:rFonts w:eastAsia="Times New Roman" w:cs="B Zar"/>
                <w:sz w:val="23"/>
                <w:szCs w:val="23"/>
              </w:rPr>
              <w:t xml:space="preserve"> </w:t>
            </w:r>
            <w:r w:rsidRPr="007C59BA">
              <w:rPr>
                <w:rFonts w:eastAsia="Times New Roman" w:cs="B Zar"/>
                <w:sz w:val="23"/>
                <w:szCs w:val="23"/>
              </w:rPr>
              <w:t>According to the findings of this research, mild traumatic brain injury can disturb executive functions of the brain's prefrontal lobes after one year. Hence, it is suggested that in clinical and legal evaluations of the patients, this issue to be considered and both psycholo</w:t>
            </w:r>
            <w:r>
              <w:rPr>
                <w:rFonts w:eastAsia="Times New Roman" w:cs="B Zar"/>
                <w:sz w:val="23"/>
                <w:szCs w:val="23"/>
              </w:rPr>
              <w:t>gical and medical interventions</w:t>
            </w:r>
            <w:r w:rsidRPr="007C59BA">
              <w:rPr>
                <w:rFonts w:eastAsia="Times New Roman" w:cs="B Zar"/>
                <w:sz w:val="23"/>
                <w:szCs w:val="23"/>
              </w:rPr>
              <w:t>.</w:t>
            </w:r>
          </w:p>
        </w:tc>
      </w:tr>
      <w:tr w:rsidR="00B86861" w:rsidRPr="00675BD0" w:rsidTr="006D405F">
        <w:tc>
          <w:tcPr>
            <w:tcW w:w="9356" w:type="dxa"/>
            <w:gridSpan w:val="2"/>
            <w:tcBorders>
              <w:bottom w:val="single" w:sz="4" w:space="0" w:color="auto"/>
            </w:tcBorders>
          </w:tcPr>
          <w:p w:rsidR="00B86861" w:rsidRPr="00675BD0" w:rsidRDefault="00B86861" w:rsidP="006D405F">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7C59BA">
              <w:rPr>
                <w:rFonts w:eastAsia="Times New Roman" w:cs="B Zar"/>
                <w:spacing w:val="-14"/>
                <w:sz w:val="23"/>
                <w:szCs w:val="23"/>
              </w:rPr>
              <w:t xml:space="preserve">Mild brain injury -  Executive function </w:t>
            </w:r>
            <w:r>
              <w:rPr>
                <w:rFonts w:eastAsia="Times New Roman" w:cs="B Zar"/>
                <w:spacing w:val="-14"/>
                <w:sz w:val="23"/>
                <w:szCs w:val="23"/>
              </w:rPr>
              <w:t xml:space="preserve">- </w:t>
            </w:r>
            <w:r w:rsidRPr="007C59BA">
              <w:rPr>
                <w:rFonts w:eastAsia="Times New Roman" w:cs="B Zar"/>
                <w:spacing w:val="-14"/>
                <w:sz w:val="23"/>
                <w:szCs w:val="23"/>
              </w:rPr>
              <w:t>Attention</w:t>
            </w:r>
          </w:p>
        </w:tc>
      </w:tr>
    </w:tbl>
    <w:p w:rsidR="00B86861" w:rsidRDefault="00B86861" w:rsidP="00B86861">
      <w:pPr>
        <w:pStyle w:val="Heading1"/>
        <w:bidi w:val="0"/>
        <w:sectPr w:rsidR="00B86861" w:rsidSect="00823582">
          <w:type w:val="continuous"/>
          <w:pgSz w:w="12240" w:h="15840" w:code="1"/>
          <w:pgMar w:top="1440" w:right="1440" w:bottom="1440" w:left="1440" w:header="567" w:footer="567" w:gutter="0"/>
          <w:cols w:space="480"/>
          <w:docGrid w:linePitch="360"/>
        </w:sectPr>
      </w:pPr>
    </w:p>
    <w:p w:rsidR="00B86861" w:rsidRPr="00AC61D0" w:rsidRDefault="00B86861" w:rsidP="00B86861">
      <w:pPr>
        <w:widowControl w:val="0"/>
        <w:bidi w:val="0"/>
        <w:rPr>
          <w:sz w:val="4"/>
          <w:szCs w:val="8"/>
        </w:rPr>
      </w:pPr>
    </w:p>
    <w:p w:rsidR="00B86861" w:rsidRDefault="00B86861" w:rsidP="00B86861">
      <w:pPr>
        <w:rPr>
          <w:rtl/>
        </w:rPr>
      </w:pPr>
    </w:p>
    <w:p w:rsidR="00B86861" w:rsidRDefault="00B86861" w:rsidP="00B86861">
      <w:pPr>
        <w:rPr>
          <w:rtl/>
        </w:rPr>
      </w:pPr>
    </w:p>
    <w:p w:rsidR="00B86861" w:rsidRDefault="00B86861" w:rsidP="00B86861"/>
    <w:p w:rsidR="004163EB" w:rsidRDefault="004163EB">
      <w:bookmarkStart w:id="0" w:name="_GoBack"/>
      <w:bookmarkEnd w:id="0"/>
    </w:p>
    <w:sectPr w:rsidR="004163EB" w:rsidSect="00823582">
      <w:type w:val="continuous"/>
      <w:pgSz w:w="12240" w:h="15840" w:code="1"/>
      <w:pgMar w:top="1440" w:right="1440" w:bottom="1440" w:left="1440" w:header="567" w:footer="567"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61"/>
    <w:rsid w:val="004163EB"/>
    <w:rsid w:val="00B86861"/>
    <w:rsid w:val="00C8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4E39E-C61C-4ACC-8A8F-567DE3BB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61"/>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B86861"/>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861"/>
    <w:rPr>
      <w:rFonts w:ascii="Cambria" w:hAnsi="Cambria" w:cs="B Nazanin"/>
      <w:b/>
      <w:bCs/>
      <w:color w:val="16258F"/>
      <w:sz w:val="20"/>
      <w:szCs w:val="20"/>
      <w:lang w:bidi="fa-IR"/>
    </w:rPr>
  </w:style>
  <w:style w:type="table" w:styleId="TableGrid">
    <w:name w:val="Table Grid"/>
    <w:basedOn w:val="TableNormal"/>
    <w:uiPriority w:val="59"/>
    <w:rsid w:val="00B8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itle"/>
    <w:basedOn w:val="Normal"/>
    <w:uiPriority w:val="1"/>
    <w:qFormat/>
    <w:rsid w:val="00B86861"/>
    <w:pPr>
      <w:widowControl w:val="0"/>
    </w:pPr>
    <w:rPr>
      <w:b/>
      <w:bCs/>
    </w:rPr>
  </w:style>
  <w:style w:type="character" w:styleId="Hyperlink">
    <w:name w:val="Hyperlink"/>
    <w:basedOn w:val="DefaultParagraphFont"/>
    <w:uiPriority w:val="99"/>
    <w:unhideWhenUsed/>
    <w:rsid w:val="00B86861"/>
    <w:rPr>
      <w:color w:val="0563C1" w:themeColor="hyperlink"/>
      <w:u w:val="single"/>
    </w:rPr>
  </w:style>
  <w:style w:type="character" w:customStyle="1" w:styleId="tlid-translation">
    <w:name w:val="tlid-translation"/>
    <w:basedOn w:val="DefaultParagraphFont"/>
    <w:rsid w:val="00B8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zafari4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1</cp:revision>
  <dcterms:created xsi:type="dcterms:W3CDTF">2019-08-24T03:29:00Z</dcterms:created>
  <dcterms:modified xsi:type="dcterms:W3CDTF">2019-08-24T03:30:00Z</dcterms:modified>
</cp:coreProperties>
</file>